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ascii="黑体" w:hAnsi="黑体" w:eastAsia="黑体" w:cs="方正小标宋简体"/>
          <w:w w:val="97"/>
          <w:sz w:val="32"/>
          <w:szCs w:val="32"/>
        </w:rPr>
      </w:pPr>
      <w:r>
        <w:rPr>
          <w:rFonts w:ascii="仿宋" w:hAnsi="仿宋" w:eastAsia="仿宋" w:cs="方正小标宋简体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-460375</wp:posOffset>
                </wp:positionV>
                <wp:extent cx="1819275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92.95pt;margin-top:-36.25pt;height:110.55pt;width:143.25pt;z-index:251665408;mso-width-relative:page;mso-height-relative:margin;mso-height-percent:200;" filled="f" stroked="f" coordsize="21600,21600" o:gfxdata="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sub9NoAAAALAQAADwAAAAAAAAABACAA&#10;AAAiAAAAZHJzL2Rvd25yZXYueG1sUEsBAhQAFAAAAAgAh07iQBzxODcLAgAA3g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方正小标宋简体"/>
          <w:w w:val="97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40" w:lineRule="exact"/>
        <w:jc w:val="left"/>
        <w:rPr>
          <w:rFonts w:ascii="黑体" w:hAnsi="黑体" w:eastAsia="黑体" w:cs="方正小标宋简体"/>
          <w:w w:val="97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w w:val="9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44"/>
          <w:szCs w:val="44"/>
        </w:rPr>
        <w:t>贵州省加快推进一流本科教育建设实施方案</w:t>
      </w:r>
    </w:p>
    <w:p>
      <w:pPr>
        <w:adjustRightInd w:val="0"/>
        <w:snapToGrid w:val="0"/>
        <w:spacing w:line="540" w:lineRule="exact"/>
        <w:jc w:val="center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（试行）</w:t>
      </w:r>
    </w:p>
    <w:p>
      <w:pPr>
        <w:spacing w:line="540" w:lineRule="exact"/>
      </w:pPr>
    </w:p>
    <w:p>
      <w:pPr>
        <w:adjustRightInd w:val="0"/>
        <w:snapToGrid w:val="0"/>
        <w:spacing w:line="540" w:lineRule="exact"/>
        <w:ind w:firstLine="707" w:firstLineChars="22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为全面贯彻落实教育部《关于加快建设高水平本科教育 全面提高人才培养能力的意见》《关于深化本科教育教学改革全面提高人才培养质量的意见》，扎实推进</w:t>
      </w:r>
      <w:r>
        <w:rPr>
          <w:rFonts w:ascii="仿宋_GB2312" w:hAnsi="仿宋_GB2312" w:eastAsia="仿宋_GB2312" w:cs="仿宋_GB2312"/>
          <w:sz w:val="32"/>
          <w:szCs w:val="32"/>
        </w:rPr>
        <w:t>《贵州省推进教育现代化建设特色教育强省实施纲要（2018-2027年）》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实施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加快推进和深化一流本科教育建设与改革，建设高水平人才培养体系，特制定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《贵州省加快推进一流本科教育建设实施方案（试行）》如下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707" w:firstLineChars="221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一、坚持“以本为本”，推进“四个回归”</w:t>
      </w:r>
    </w:p>
    <w:p>
      <w:pPr>
        <w:adjustRightInd w:val="0"/>
        <w:snapToGrid w:val="0"/>
        <w:spacing w:line="540" w:lineRule="exact"/>
        <w:ind w:firstLine="707" w:firstLineChars="221"/>
        <w:outlineLvl w:val="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坚持“以本为本”，坚定不移筑牢本科教育的基础地位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推进“四个回归”，回归大学的本质职能，把“培养人”作为高校的根本任务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引导学生求真学问、练真本领，成为有理想、有学问、有才干的实干家；引导教师热爱教学、倾心教学、研究教学，做到德高、学高、艺高，担当起学生健康成长的指导者和引路人；引导高校培养具有社会责任感、创新精神、实践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具备适应时代发展需求的专业素养和过硬本领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堪当大任的社会主义建设者和接班人；引导高校坚定信心，推动理念创新、组织创新、管理创新、制度创新，全面提升人才培养能力，加快建设高等教育强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二、坚持“问题导向”，聚焦“补齐短板”</w:t>
      </w:r>
    </w:p>
    <w:p>
      <w:pPr>
        <w:adjustRightInd w:val="0"/>
        <w:snapToGrid w:val="0"/>
        <w:spacing w:line="540" w:lineRule="exact"/>
        <w:ind w:firstLine="707" w:firstLineChars="221"/>
        <w:outlineLvl w:val="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针对我省高等教育存在一些不适应不和谐不协调的情况，全省高校必须主动适应国家和地方战略发展新需求，主动适应高等教育发展新趋势，不断攻克改革发展中的难点和问题，加快建设一流本科教育，推动形成贵州特色的高水平人才培养体系。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三、坚持“方向引领”，不断增强“四个自信”</w:t>
      </w:r>
    </w:p>
    <w:p>
      <w:pPr>
        <w:adjustRightInd w:val="0"/>
        <w:snapToGrid w:val="0"/>
        <w:spacing w:line="540" w:lineRule="exact"/>
        <w:ind w:firstLine="707" w:firstLineChars="221"/>
        <w:outlineLvl w:val="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全面加强高校党的建设，毫不动摇地坚持社会主义办学方向，不断强化面向全体青年学生的马克思主义理论教育，全面加强社会主义核心价值观、中华民族伟大复兴“中国梦”和多彩贵州新未来的宣传教育，大力推进习近平新时代中国特色社会主义思想进教材、进课堂、进头脑，不断增强广大师生的道路自信、理论自信、制度自信和文化自信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（责任处室：社政处）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四、坚持“以质为要”，提升思政教育质量</w:t>
      </w:r>
    </w:p>
    <w:p>
      <w:pPr>
        <w:adjustRightInd w:val="0"/>
        <w:snapToGrid w:val="0"/>
        <w:spacing w:line="540" w:lineRule="exact"/>
        <w:ind w:firstLine="707" w:firstLineChars="221"/>
        <w:outlineLvl w:val="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加强高校思想政治工作体系建设，构建“三全育人”新格局，把思想政治教育贯穿人才培养全过程，以育人为宗旨，构建高校“文化育人”体系，融合中华民族优秀传统文化、贵州多彩民族文化、高校特色大学文化，形成贵州高校德育教育特色。推动高校全面优化思想政治理论课程，</w:t>
      </w:r>
      <w:r>
        <w:rPr>
          <w:rFonts w:ascii="仿宋_GB2312" w:hAnsi="仿宋_GB2312" w:eastAsia="仿宋_GB2312" w:cs="仿宋_GB2312"/>
          <w:color w:val="333333"/>
          <w:spacing w:val="8"/>
          <w:kern w:val="0"/>
          <w:sz w:val="32"/>
          <w:szCs w:val="32"/>
        </w:rPr>
        <w:t>全面贯彻落实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“八个相统一”思想政治理论课改革创新方向，加强思政融入专业课程建设，充分发挥课堂育人功能，强化专业课程教师的立德树人意识，在传授知识、技能的同时，强化科学精神、职业道德、专业修养教育。搭建思政课程与课程思政紧密结合、同向同行的育人格局。落实高校在教材建设中的主体责任，健全教材管理体制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，抓好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马克思主义理论研究和建设工程重点教材统一使用工作。（责任处室：社政处、高教处）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五、全面推进完全学分制改革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在全省高校全面推进完全学分制改革，完善学分制收费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制度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，打造“金专”“金课”“金师”，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切实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励和促进学生好好学、教师好好教、学校好好管。建立健全学生跨专业、跨学段、跨学校选课制度，给予学生更大的专业、课程选择自主权，全面提高学生综合素质和创新能力。省属高校应于2023年全面实行完全学分制，其余高校于2025年全面实行完全学分制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（责任处室：高教处、财务处）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六、大力推动大类招生培养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建立健全大类招生、分流和转专业制度。淡化专业界限，以“厚基础、宽口径、重能力、求创新、追卓越”为目标，全省高校从按专业类招生培养逐步过渡到按学科门类、跨学科门类招生培养。到2022年各校（医学类院校除外）按大类招生专业数不低于40%，2025年不低于60%；医学类院校按大类招生专业数到2022年不低于30%。一二年级重在加强通识教育和大类基础教育，拓展学生视野和夯实未来发展基础，三四年级试行多样化、多方向的专业教育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（责任处室：招考院、学生处、科研处&lt;学位办&gt;、规划处、高教处）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七、深入推进课堂教学革命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推进现代信息技术与教育教学深度融合，打造智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课堂、智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实验室、智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校园，提升师生的信息素养。探索实施网络化、数字化、智能化、个性化教育，塑造全新的教育教学形态。积极推广混合式教学、翻转课堂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等现代化新型课堂教学模式，构建线上线下相结合的教学模式。实施课程教学质量考核评价机制，引导教师因课制宜选择课堂教学方式方法，根据产出导向、能力标准，科学设计课程内容。引导学生自我管理、主动学习，激发求知欲望，提高学习效率，提升自主学习能力。每年实施新时代本科教学改革工程项目150项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（责任处室：信息中心、高教处）</w:t>
      </w:r>
    </w:p>
    <w:p>
      <w:pPr>
        <w:pStyle w:val="2"/>
        <w:spacing w:line="540" w:lineRule="exact"/>
        <w:ind w:firstLine="707" w:firstLineChars="221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八、严格教学和学习过程管理</w:t>
      </w:r>
    </w:p>
    <w:p>
      <w:pPr>
        <w:pStyle w:val="2"/>
        <w:spacing w:line="540" w:lineRule="exact"/>
        <w:ind w:firstLine="707" w:firstLineChars="22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严管严抓课堂教学秩序，完善课程设置、健全课程教学大纲、规范教材选用，改进课堂教学效果评价，加强课堂教学全方位、全过程管理，全面提高课程教学质量。建立健全多元化学业考核评价体系，切实加强学生学习过程考核，全面提高毕业论文（设计）质量，加大对毕业论文（设计）的查重检测和第三方复查力度，严格考试纪律、严把毕业出口关，坚决取消“清考”制度，保证学生毕业质量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（责任处室：高教处、科研处&lt;学位办&gt;）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九、完善创新创业教育激励机制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强化学生创新精神和实践能力培养，促进学生创新创业能力的全面提升。开发、建设创新创业课程体系，促进课程标准、课程内容、教学方法、实践训练与学科前沿、行业标准对接，推动创新创业教育与专业教育、思想政治教育有机融合。强化大学生创新创业实践训练，加大对大学生创新创业训练项目的支持力度。鼓励、支持企业参与高校创新创业教育，搭建大学生创新创业与社会需求对接的平台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（责任处室：高教处、学生处）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566" w:firstLineChars="17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持续推进专业供给侧改革</w:t>
      </w:r>
    </w:p>
    <w:p>
      <w:pPr>
        <w:adjustRightInd w:val="0"/>
        <w:snapToGrid w:val="0"/>
        <w:spacing w:line="540" w:lineRule="exact"/>
        <w:ind w:firstLine="566" w:firstLineChars="177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健全专业动态调整机制，支持高校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立足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自身发展定位和办学实际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围绕新工科、新医科、新农科、新文科优化学科专业结构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紧密结合我省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大扶贫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、大数据、大生态三大战略、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特色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产业、十大千亿级工业产业、服务业创新发展十大工程和战略性新兴产业等，科学制定专业建设发展规划，做好专业调整淘汰、布局新建、升级改造和区域优化。加强省级统筹，加强专业布局顶层设计，培育特色优势专业集群，打造专业建设新高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发挥就业创业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状况对教育教学的反馈作用，促进就业与招生计划、人才培养、专业设置联动机制的建立，使人才培养与经济社会发展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紧密对接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（责任处室：高教处、规划处、科研处&lt;学位办&gt;、就业办）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十一、强力推进专业质量提升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以专业认证和评估为重要抓手，紧紧围绕行业发展需求，及时调整、优化本科专业定位，适时修订人才培养方案，科学构建课程体系，定期更新教学大纲，全面提升师资队伍建设、教学条件建设和教学资源建设水平，不断加强专业内涵建设，建立专业办学条件主动公开制度，全面提高专业建设质量。推进辅修专业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改革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，支持本科生辅修其他本科专业。支持符合条件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的高校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创新人才培养模式，开展双学士学位人才培养项目。支持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实施联合学生学位培养项目，协同提升人才培养质量。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（责任处室：高教处、学生处）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十二、大力推进一流专业建设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以建设“面向未来、适应需求、引领发展、理念先进、保障有力”的一流本科专业为目标，鼓励、支持各高校建设国家级、省级一流专业。以“四个新”“六卓越一拔尖”培养计划2.0为引领，到2023年，建设200个左右紧密契合贵州经济社会发展所需的一流专业，并向27个重点产业相关专业倾斜，推动本科专业建设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（责任处室：高教处）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十三、大力推进一流课程建设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以一流课程建设为抓手，建设300门左右省级一流课程，推动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一批高质量特色课程群；</w:t>
      </w:r>
      <w:r>
        <w:rPr>
          <w:rFonts w:ascii="仿宋_GB2312" w:hAnsi="仿宋_GB2312" w:eastAsia="仿宋_GB2312" w:cs="仿宋_GB2312"/>
          <w:sz w:val="32"/>
          <w:szCs w:val="32"/>
        </w:rPr>
        <w:t>加强课程体系整体设计，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以人才培养为中心，以课程优化融合为重点，以改革课程群教学内容、教学方法、教学手段为主要内容，以课程群教学基本条件和质量评估指标体系建设为保障，立足培养学生专业素养、创新精神和实践能力，合理提升课程高阶性、增加课程挑战度、突出课程创新性，构建融传授知识、培养能力、提高素质为一体的高水平课程体系。针对12个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特色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产业，推出一批实用型技能课程模块。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责任处室：高教处）</w:t>
      </w:r>
    </w:p>
    <w:p>
      <w:pPr>
        <w:numPr>
          <w:ilvl w:val="0"/>
          <w:numId w:val="2"/>
        </w:num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健全教师评价考核机制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推行高校教师职务聘任制改革，建立兼职教师资源库。健全师德师风考核制度，把师德师风作为教师素质评价的第一标准。推动高校建立教师个人信用记录，实行师德师风负面清单制度。强化高校师德建设主体责任，建立健全师德考核、年度评议等制度和师德投诉举报平台。推动教师培训常态化，促进中青年教师专业发展。强化突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教育教学业绩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在教师绩效分配、职务职称评聘和岗位考核中的比重，把教授为本科生授课学时纳入学校教学评估指标体系。将教师指导学生学习、创新创业、社会实践、各类竞赛展演及开展“传帮带”等工作计入教育教学工作量，纳入年度考核内容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（责任处室：教师处、人事处）</w:t>
      </w:r>
    </w:p>
    <w:p>
      <w:pPr>
        <w:numPr>
          <w:ilvl w:val="0"/>
          <w:numId w:val="2"/>
        </w:numPr>
        <w:spacing w:line="540" w:lineRule="exact"/>
        <w:ind w:firstLine="643" w:firstLineChars="201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强化教育教学能力提升</w:t>
      </w:r>
    </w:p>
    <w:p>
      <w:pPr>
        <w:spacing w:line="540" w:lineRule="exact"/>
        <w:ind w:firstLine="643" w:firstLineChars="201"/>
        <w:jc w:val="lef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建立健全基层教学组织和教学团队，支持高校实施教学名师、教学团队、基层教学组织（教研室）培育计划，建成一批具有示范引领作用的教学团队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全面开展高校教师教学能力提升培训计划，新建5个省级高校教师发展中心。建立健全助教岗位制度，完善选拔、培训、评价、激励和反馈的全流程助教岗位管理制度。加强对新入职教师、青年教师教育教学工作的督导，帮助他们尽快提升教育教学能力。全面落实教授给本科生上基础课、专业基础课制度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（责任处室：教师处，高教处）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十六、健全科教协同育人新机制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科教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协同育人新模式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，促进人才培养协同、教师队伍建设协同、教育教学资源配置协同、实践教学协同、“科—教融合” 育人协同、毕业生就业协同机制。强力推进新工科、新农科、新医科、新文科建设，主动应对新一轮科技革命与产业变革，服务创新驱动发展、“中国制造2025”等国家战略。推进校企深度融合工程协同育人新模式，深化农科教结合的协同育人模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推动高校与法律实务部门人员互聘的协同育人模式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深化宣传部门与高校共建传媒学院的协同育人机制，完善高校与地方政府和中小学“三位一体”协同培养教师新模式；鼓励高校与科研院所建立协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培养基础学科拔尖人才新模式。支持省内高校与省内外高校之间建立多形式、多领域的发展联盟。</w:t>
      </w:r>
      <w:r>
        <w:rPr>
          <w:rFonts w:ascii="仿宋_GB2312" w:hAnsi="仿宋_GB2312" w:eastAsia="仿宋_GB2312" w:cs="仿宋_GB2312"/>
          <w:sz w:val="32"/>
          <w:szCs w:val="32"/>
        </w:rPr>
        <w:t>充分发挥对外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</w:t>
      </w:r>
      <w:r>
        <w:rPr>
          <w:rFonts w:ascii="仿宋_GB2312" w:hAnsi="仿宋_GB2312" w:eastAsia="仿宋_GB2312" w:cs="仿宋_GB2312"/>
          <w:sz w:val="32"/>
          <w:szCs w:val="32"/>
        </w:rPr>
        <w:t>办学的窗口作用，全方位展示贵州高等教育新形象新高度。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扩大省内外高校联合培养本科生范围和规模。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（责任处室：科研处、高教处、教师处、国际处）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十七、深化国际合作育人新发展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积极支持和鼓励高校引进国（境）外优质教育资源，重点支持举办高水平、示范性中外合作办学机构（项目），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发挥“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东盟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教育交流周”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平台作用，积极拓展与东盟、其他“一带一路”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国家的教育交流合作。大力推进省内高校与国（境）外高水平大学开展联合培养，选拔高校学术带头人赴国外高水平机构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高校访学交流，</w:t>
      </w:r>
      <w:r>
        <w:rPr>
          <w:rFonts w:ascii="仿宋_GB2312" w:hAnsi="仿宋_GB2312" w:eastAsia="仿宋_GB2312" w:cs="仿宋_GB2312"/>
          <w:sz w:val="32"/>
          <w:szCs w:val="32"/>
        </w:rPr>
        <w:t>提质增效开展来黔留学本科生国际教育工作，积极开展“千人海外留学计划”、暑期研修团等项目；选派优秀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  <w:r>
        <w:rPr>
          <w:rFonts w:ascii="仿宋_GB2312" w:hAnsi="仿宋_GB2312" w:eastAsia="仿宋_GB2312" w:cs="仿宋_GB2312"/>
          <w:sz w:val="32"/>
          <w:szCs w:val="32"/>
        </w:rPr>
        <w:t>生赴国（境）外交流学习，增强高校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国际化</w:t>
      </w:r>
      <w:r>
        <w:rPr>
          <w:rFonts w:ascii="仿宋_GB2312" w:hAnsi="仿宋_GB2312" w:eastAsia="仿宋_GB2312" w:cs="仿宋_GB2312"/>
          <w:sz w:val="32"/>
          <w:szCs w:val="32"/>
        </w:rPr>
        <w:t>办学水平，提升教育工作者、学术骨干等人员的国际教育学习工作背景，扩宽国际教育视野。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（责任处室：国际处、东盟秘书处）</w:t>
      </w:r>
    </w:p>
    <w:p>
      <w:pPr>
        <w:numPr>
          <w:ilvl w:val="0"/>
          <w:numId w:val="3"/>
        </w:numPr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强化学生实践能力新内涵</w:t>
      </w:r>
    </w:p>
    <w:p>
      <w:pPr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进一步改进学生实习运行机制，优化实习过程管理，加大对学生实习工作支持力度。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充分调动、综合运用校内外资源，建设满足实践教学需要的实验实习实训平台。加强校内实验教学资源和实验教学队伍建设，构建功能集约、资源共享、开放充分、运作高效的实验教学平台。大力推动高校与部门单位、行业企业共同建设合作共赢、开放共享的实践教育基地。建设学生实习岗位需求对接网络平台，征集、发布企业和学生实习需求信息，为学生实习实践提供服务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（责任处室：高教处）</w:t>
      </w:r>
    </w:p>
    <w:p>
      <w:pPr>
        <w:numPr>
          <w:ilvl w:val="0"/>
          <w:numId w:val="3"/>
        </w:num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不断健全质量评估保障体系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把人才培养水平和质量作为评价高校的首要指标，形成以提高人才培养水平为核心的大学质量文化；进一步推进高等教育“管、办、评”分离，构建以高校内部质量保障为基础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学术组织、行业部门和社会机构共同参与的高等教育质量保障体系。按照有关行业标准、高校办学定位和人才培养目标，建立本科教学自我评估指标体系和高校完善自我评估制度。</w:t>
      </w:r>
      <w:r>
        <w:rPr>
          <w:rFonts w:ascii="仿宋_GB2312" w:hAnsi="仿宋_GB2312" w:eastAsia="仿宋_GB2312" w:cs="仿宋_GB2312"/>
          <w:sz w:val="32"/>
          <w:szCs w:val="32"/>
        </w:rPr>
        <w:t>进一步规范高校新设本科专业建设与管理，在新设专业首届学生进入毕业学年时组织实施新</w:t>
      </w:r>
      <w:r>
        <w:rPr>
          <w:rFonts w:hint="eastAsia" w:ascii="仿宋_GB2312" w:hAnsi="仿宋_GB2312" w:eastAsia="仿宋_GB2312" w:cs="仿宋_GB2312"/>
          <w:sz w:val="32"/>
          <w:szCs w:val="32"/>
        </w:rPr>
        <w:t>设</w:t>
      </w:r>
      <w:r>
        <w:rPr>
          <w:rFonts w:ascii="仿宋_GB2312" w:hAnsi="仿宋_GB2312" w:eastAsia="仿宋_GB2312" w:cs="仿宋_GB2312"/>
          <w:sz w:val="32"/>
          <w:szCs w:val="32"/>
        </w:rPr>
        <w:t>专业评估。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（责任处室：高教处、督导办）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二十、积极推动“管办评”机制分离</w:t>
      </w:r>
    </w:p>
    <w:p>
      <w:pPr>
        <w:adjustRightInd w:val="0"/>
        <w:snapToGrid w:val="0"/>
        <w:spacing w:line="540" w:lineRule="exact"/>
        <w:ind w:firstLine="643" w:firstLineChars="20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建立完善教育行政部门主导推进、高校自主办学、第三方评估的机制，引导高校立足社会发展需求和行业实际加强专业建设。充分发挥行业部门在人才培养、需求分析、标准制订和专业认证等方面的作用。通过政府购买服务方式，支持社会专业评估机构开展高等教育质量评估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（责任处室：高教处、督导办）</w:t>
      </w:r>
    </w:p>
    <w:sectPr>
      <w:footerReference r:id="rId3" w:type="default"/>
      <w:footerReference r:id="rId4" w:type="even"/>
      <w:pgSz w:w="11906" w:h="16838"/>
      <w:pgMar w:top="1985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976871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935837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9A6EC"/>
    <w:multiLevelType w:val="singleLevel"/>
    <w:tmpl w:val="BA19A6EC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3090AE"/>
    <w:multiLevelType w:val="singleLevel"/>
    <w:tmpl w:val="193090AE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A077F5"/>
    <w:multiLevelType w:val="singleLevel"/>
    <w:tmpl w:val="3BA077F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7C"/>
    <w:rsid w:val="00034997"/>
    <w:rsid w:val="000869BB"/>
    <w:rsid w:val="00094947"/>
    <w:rsid w:val="000A3CDF"/>
    <w:rsid w:val="000B72F6"/>
    <w:rsid w:val="000C1C73"/>
    <w:rsid w:val="00106719"/>
    <w:rsid w:val="00110266"/>
    <w:rsid w:val="00147B67"/>
    <w:rsid w:val="001627DE"/>
    <w:rsid w:val="00166070"/>
    <w:rsid w:val="001663DB"/>
    <w:rsid w:val="00166AF6"/>
    <w:rsid w:val="001955E2"/>
    <w:rsid w:val="001C338A"/>
    <w:rsid w:val="001F2E7E"/>
    <w:rsid w:val="00214F28"/>
    <w:rsid w:val="002506EC"/>
    <w:rsid w:val="00255ECC"/>
    <w:rsid w:val="002B5C6D"/>
    <w:rsid w:val="002C7953"/>
    <w:rsid w:val="002F39AB"/>
    <w:rsid w:val="00314E9A"/>
    <w:rsid w:val="00321AA1"/>
    <w:rsid w:val="00324CA5"/>
    <w:rsid w:val="00335DB4"/>
    <w:rsid w:val="00336746"/>
    <w:rsid w:val="00342493"/>
    <w:rsid w:val="003510F6"/>
    <w:rsid w:val="00357F88"/>
    <w:rsid w:val="003C71BC"/>
    <w:rsid w:val="0046448D"/>
    <w:rsid w:val="004646AA"/>
    <w:rsid w:val="004D693C"/>
    <w:rsid w:val="004E48F7"/>
    <w:rsid w:val="00503403"/>
    <w:rsid w:val="005059FC"/>
    <w:rsid w:val="00520327"/>
    <w:rsid w:val="00530F12"/>
    <w:rsid w:val="005326A3"/>
    <w:rsid w:val="00552EEB"/>
    <w:rsid w:val="00561D93"/>
    <w:rsid w:val="005945A6"/>
    <w:rsid w:val="005C454C"/>
    <w:rsid w:val="005E0423"/>
    <w:rsid w:val="005E5784"/>
    <w:rsid w:val="006604B9"/>
    <w:rsid w:val="00666DF7"/>
    <w:rsid w:val="006762FE"/>
    <w:rsid w:val="006B2584"/>
    <w:rsid w:val="006D7049"/>
    <w:rsid w:val="006E2927"/>
    <w:rsid w:val="00710A56"/>
    <w:rsid w:val="00767592"/>
    <w:rsid w:val="00791B31"/>
    <w:rsid w:val="007C2B75"/>
    <w:rsid w:val="00834FA5"/>
    <w:rsid w:val="008425B7"/>
    <w:rsid w:val="00843B17"/>
    <w:rsid w:val="008475D4"/>
    <w:rsid w:val="00867CAE"/>
    <w:rsid w:val="008A04D8"/>
    <w:rsid w:val="008A386F"/>
    <w:rsid w:val="008C6F42"/>
    <w:rsid w:val="00907E4E"/>
    <w:rsid w:val="009122D1"/>
    <w:rsid w:val="00963C43"/>
    <w:rsid w:val="00967E44"/>
    <w:rsid w:val="009A4ED6"/>
    <w:rsid w:val="009C659D"/>
    <w:rsid w:val="00A1359B"/>
    <w:rsid w:val="00A60E7C"/>
    <w:rsid w:val="00A835E5"/>
    <w:rsid w:val="00A931D0"/>
    <w:rsid w:val="00AA57E1"/>
    <w:rsid w:val="00AA7D44"/>
    <w:rsid w:val="00AB4FDC"/>
    <w:rsid w:val="00AE3B51"/>
    <w:rsid w:val="00BB138A"/>
    <w:rsid w:val="00BB614E"/>
    <w:rsid w:val="00BD05F0"/>
    <w:rsid w:val="00BF01F9"/>
    <w:rsid w:val="00C5410C"/>
    <w:rsid w:val="00C60B33"/>
    <w:rsid w:val="00C7209A"/>
    <w:rsid w:val="00C732CB"/>
    <w:rsid w:val="00C81361"/>
    <w:rsid w:val="00CB1DBC"/>
    <w:rsid w:val="00CE41FC"/>
    <w:rsid w:val="00CE5A22"/>
    <w:rsid w:val="00CF7562"/>
    <w:rsid w:val="00D207C1"/>
    <w:rsid w:val="00D2494E"/>
    <w:rsid w:val="00D406E6"/>
    <w:rsid w:val="00D72BA4"/>
    <w:rsid w:val="00D8105D"/>
    <w:rsid w:val="00D8458E"/>
    <w:rsid w:val="00D868F7"/>
    <w:rsid w:val="00D86B33"/>
    <w:rsid w:val="00D94ADC"/>
    <w:rsid w:val="00DC51A9"/>
    <w:rsid w:val="00DE1301"/>
    <w:rsid w:val="00E562E5"/>
    <w:rsid w:val="00E91D36"/>
    <w:rsid w:val="00EA4083"/>
    <w:rsid w:val="00EB0A95"/>
    <w:rsid w:val="00EB42A9"/>
    <w:rsid w:val="00EC22EA"/>
    <w:rsid w:val="00F469A9"/>
    <w:rsid w:val="00F728BE"/>
    <w:rsid w:val="00F746C4"/>
    <w:rsid w:val="00F80A6E"/>
    <w:rsid w:val="00FA16E6"/>
    <w:rsid w:val="00FF7F7A"/>
    <w:rsid w:val="02053291"/>
    <w:rsid w:val="36C9783E"/>
    <w:rsid w:val="39E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8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link w:val="10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批注文字 Char"/>
    <w:basedOn w:val="9"/>
    <w:link w:val="2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Calibri" w:hAnsi="Calibri" w:eastAsia="宋体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5BAD8-F22F-4963-92A2-E884DD617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839</Words>
  <Characters>4786</Characters>
  <Lines>39</Lines>
  <Paragraphs>11</Paragraphs>
  <TotalTime>2</TotalTime>
  <ScaleCrop>false</ScaleCrop>
  <LinksUpToDate>false</LinksUpToDate>
  <CharactersWithSpaces>5614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2019-12-16T03:05:00Z</dcterms:created>
  <dc:creator>Lenovo</dc:creator>
  <cp:lastModifiedBy>Lenovo</cp:lastModifiedBy>
  <cp:lastPrinted>2019-12-17T07:45:00Z</cp:lastPrinted>
  <dcterms:modified xsi:type="dcterms:W3CDTF">2019-12-20T02:29:24Z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