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eastAsia" w:ascii="方正小标宋简体" w:hAnsi="方正小标宋简体" w:eastAsia="方正小标宋简体" w:cs="方正小标宋简体"/>
          <w:color w:val="auto"/>
          <w:kern w:val="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202</w:t>
      </w:r>
      <w:r>
        <w:rPr>
          <w:rFonts w:hint="default" w:ascii="方正小标宋简体" w:hAnsi="方正小标宋简体" w:eastAsia="方正小标宋简体" w:cs="方正小标宋简体"/>
          <w:color w:val="auto"/>
          <w:kern w:val="0"/>
          <w:sz w:val="44"/>
          <w:szCs w:val="44"/>
          <w:highlight w:val="none"/>
          <w:lang w:val="en-US" w:eastAsia="zh-CN"/>
        </w:rPr>
        <w:t>5</w:t>
      </w:r>
      <w:r>
        <w:rPr>
          <w:rFonts w:hint="eastAsia" w:ascii="方正小标宋简体" w:hAnsi="方正小标宋简体" w:eastAsia="方正小标宋简体" w:cs="方正小标宋简体"/>
          <w:color w:val="auto"/>
          <w:kern w:val="0"/>
          <w:sz w:val="44"/>
          <w:szCs w:val="44"/>
          <w:highlight w:val="none"/>
        </w:rPr>
        <w:t>年贵州省教育科学研究优秀成果</w:t>
      </w:r>
    </w:p>
    <w:p>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评选奖励办法</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第一条  指导思想</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以习近平新时代中国特色社会主义思想为指导，</w:t>
      </w:r>
      <w:r>
        <w:rPr>
          <w:rFonts w:hint="eastAsia" w:ascii="仿宋" w:hAnsi="仿宋" w:eastAsia="仿宋" w:cs="仿宋"/>
          <w:i w:val="0"/>
          <w:caps w:val="0"/>
          <w:color w:val="auto"/>
          <w:spacing w:val="0"/>
          <w:sz w:val="32"/>
          <w:szCs w:val="32"/>
          <w:shd w:val="clear" w:color="auto" w:fill="FFFFFF"/>
          <w:lang w:val="en-US" w:eastAsia="zh-CN"/>
        </w:rPr>
        <w:t>深入贯彻党的二十大关于加快建设教育强国的战略部署</w:t>
      </w:r>
      <w:r>
        <w:rPr>
          <w:rFonts w:hint="eastAsia" w:ascii="仿宋" w:hAnsi="仿宋" w:eastAsia="仿宋" w:cs="仿宋"/>
          <w:i w:val="0"/>
          <w:caps w:val="0"/>
          <w:color w:val="auto"/>
          <w:spacing w:val="0"/>
          <w:sz w:val="32"/>
          <w:szCs w:val="32"/>
          <w:shd w:val="clear" w:color="auto" w:fill="FFFFFF"/>
          <w:lang w:eastAsia="zh-CN"/>
        </w:rPr>
        <w:t>，深入</w:t>
      </w:r>
      <w:r>
        <w:rPr>
          <w:rFonts w:hint="eastAsia" w:ascii="仿宋" w:hAnsi="仿宋" w:eastAsia="仿宋" w:cs="仿宋"/>
          <w:i w:val="0"/>
          <w:caps w:val="0"/>
          <w:color w:val="auto"/>
          <w:spacing w:val="0"/>
          <w:sz w:val="32"/>
          <w:szCs w:val="32"/>
          <w:shd w:val="clear" w:color="auto" w:fill="FFFFFF"/>
          <w:lang w:val="en-US" w:eastAsia="zh-CN"/>
        </w:rPr>
        <w:t>落实《教育强国建设规划纲要（2024—2035年）》要求</w:t>
      </w:r>
      <w:r>
        <w:rPr>
          <w:rFonts w:hint="eastAsia" w:ascii="仿宋" w:hAnsi="仿宋" w:eastAsia="仿宋" w:cs="仿宋"/>
          <w:i w:val="0"/>
          <w:caps w:val="0"/>
          <w:color w:val="auto"/>
          <w:spacing w:val="0"/>
          <w:sz w:val="32"/>
          <w:szCs w:val="32"/>
          <w:shd w:val="clear" w:color="auto" w:fill="FFFFFF"/>
        </w:rPr>
        <w:t>，总结20</w:t>
      </w:r>
      <w:r>
        <w:rPr>
          <w:rFonts w:hint="eastAsia" w:ascii="仿宋" w:hAnsi="仿宋" w:eastAsia="仿宋" w:cs="仿宋"/>
          <w:i w:val="0"/>
          <w:caps w:val="0"/>
          <w:color w:val="auto"/>
          <w:spacing w:val="0"/>
          <w:sz w:val="32"/>
          <w:szCs w:val="32"/>
          <w:shd w:val="clear" w:color="auto" w:fill="FFFFFF"/>
          <w:lang w:val="en-US"/>
        </w:rPr>
        <w:t>20</w:t>
      </w:r>
      <w:r>
        <w:rPr>
          <w:rFonts w:hint="eastAsia" w:ascii="仿宋" w:hAnsi="仿宋" w:eastAsia="仿宋" w:cs="仿宋"/>
          <w:i w:val="0"/>
          <w:caps w:val="0"/>
          <w:color w:val="auto"/>
          <w:spacing w:val="0"/>
          <w:sz w:val="32"/>
          <w:szCs w:val="32"/>
          <w:shd w:val="clear" w:color="auto" w:fill="FFFFFF"/>
        </w:rPr>
        <w:t>年至202</w:t>
      </w:r>
      <w:r>
        <w:rPr>
          <w:rFonts w:hint="eastAsia" w:ascii="仿宋" w:hAnsi="仿宋" w:eastAsia="仿宋" w:cs="仿宋"/>
          <w:i w:val="0"/>
          <w:caps w:val="0"/>
          <w:color w:val="auto"/>
          <w:spacing w:val="0"/>
          <w:sz w:val="32"/>
          <w:szCs w:val="32"/>
          <w:shd w:val="clear" w:color="auto" w:fill="FFFFFF"/>
          <w:lang w:val="en-US"/>
        </w:rPr>
        <w:t>4</w:t>
      </w:r>
      <w:r>
        <w:rPr>
          <w:rFonts w:hint="eastAsia" w:ascii="仿宋" w:hAnsi="仿宋" w:eastAsia="仿宋" w:cs="仿宋"/>
          <w:i w:val="0"/>
          <w:caps w:val="0"/>
          <w:color w:val="auto"/>
          <w:spacing w:val="0"/>
          <w:sz w:val="32"/>
          <w:szCs w:val="32"/>
          <w:shd w:val="clear" w:color="auto" w:fill="FFFFFF"/>
        </w:rPr>
        <w:t>年我省教育科研战线所取得的优秀研究成就，调动广大教育工作者从事教育科学研究的积极性和创造性，以高质量的科研成果，</w:t>
      </w:r>
      <w:r>
        <w:rPr>
          <w:rFonts w:hint="eastAsia" w:ascii="仿宋" w:hAnsi="仿宋" w:eastAsia="仿宋" w:cs="仿宋"/>
          <w:color w:val="auto"/>
          <w:sz w:val="32"/>
          <w:szCs w:val="32"/>
          <w:highlight w:val="none"/>
        </w:rPr>
        <w:t>为</w:t>
      </w:r>
      <w:r>
        <w:rPr>
          <w:rFonts w:hint="eastAsia" w:ascii="仿宋" w:hAnsi="仿宋" w:eastAsia="仿宋" w:cs="仿宋"/>
          <w:color w:val="auto"/>
          <w:sz w:val="32"/>
          <w:szCs w:val="32"/>
          <w:highlight w:val="none"/>
          <w:lang w:val="en-US" w:eastAsia="zh-CN"/>
        </w:rPr>
        <w:t>教育强国</w:t>
      </w:r>
      <w:r>
        <w:rPr>
          <w:rFonts w:hint="eastAsia" w:ascii="仿宋" w:hAnsi="仿宋" w:eastAsia="仿宋" w:cs="仿宋"/>
          <w:color w:val="auto"/>
          <w:sz w:val="32"/>
          <w:szCs w:val="32"/>
          <w:highlight w:val="none"/>
        </w:rPr>
        <w:t>建设</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特色教育强省建设做出贡献。</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评奖工作坚持政治标准、学术标准和学风标准，倡导质量第一，体现创新性和社会影响力。</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第二条  评奖范围</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rPr>
        <w:t>.</w:t>
      </w:r>
      <w:r>
        <w:rPr>
          <w:rFonts w:hint="eastAsia" w:ascii="仿宋" w:hAnsi="仿宋" w:eastAsia="仿宋" w:cs="仿宋"/>
          <w:color w:val="auto"/>
          <w:sz w:val="32"/>
          <w:szCs w:val="32"/>
          <w:highlight w:val="none"/>
        </w:rPr>
        <w:t>申报成果</w:t>
      </w:r>
      <w:r>
        <w:rPr>
          <w:rFonts w:hint="eastAsia" w:ascii="仿宋" w:hAnsi="仿宋" w:eastAsia="仿宋" w:cs="仿宋"/>
          <w:color w:val="auto"/>
          <w:sz w:val="32"/>
          <w:szCs w:val="32"/>
          <w:highlight w:val="none"/>
          <w:lang w:val="en-US" w:eastAsia="zh-CN"/>
        </w:rPr>
        <w:t>主要分为</w:t>
      </w:r>
      <w:r>
        <w:rPr>
          <w:rFonts w:hint="eastAsia" w:ascii="仿宋" w:hAnsi="仿宋" w:eastAsia="仿宋" w:cs="仿宋"/>
          <w:color w:val="auto"/>
          <w:sz w:val="32"/>
          <w:szCs w:val="32"/>
          <w:highlight w:val="none"/>
        </w:rPr>
        <w:t>已公开出版和发表的成果，包括著作、论文、工具书、教材等（不包括论文集、音像制品、计算机软件）。不宜公开出版和发表，但已被决策、管理部门采用的咨询报告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有市（州）级及以上立项课题结项支撑的研究报告</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val="en-US" w:eastAsia="zh-CN"/>
        </w:rPr>
        <w:t>咨询</w:t>
      </w:r>
      <w:r>
        <w:rPr>
          <w:rFonts w:hint="eastAsia" w:ascii="仿宋" w:hAnsi="仿宋" w:eastAsia="仿宋" w:cs="仿宋"/>
          <w:color w:val="auto"/>
          <w:sz w:val="32"/>
          <w:szCs w:val="32"/>
          <w:highlight w:val="none"/>
          <w:lang w:eastAsia="zh-CN"/>
        </w:rPr>
        <w:t>报告</w:t>
      </w:r>
      <w:r>
        <w:rPr>
          <w:rFonts w:hint="eastAsia" w:ascii="仿宋" w:hAnsi="仿宋" w:eastAsia="仿宋" w:cs="仿宋"/>
          <w:color w:val="auto"/>
          <w:sz w:val="32"/>
          <w:szCs w:val="32"/>
          <w:highlight w:val="none"/>
          <w:lang w:val="en-US" w:eastAsia="zh-CN"/>
        </w:rPr>
        <w:t>主要是指已被决策、管理部门采用的调研报告、论证报告等研究成果，原则上需具有厅级及以上管理部门或相关领导的肯定性批示、政策文件等作为印证材料。</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各市（州）、学校（单位）应择优推荐。</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参评成果限定在20</w:t>
      </w:r>
      <w:r>
        <w:rPr>
          <w:rFonts w:hint="eastAsia" w:ascii="仿宋" w:hAnsi="仿宋" w:eastAsia="仿宋" w:cs="仿宋"/>
          <w:color w:val="auto"/>
          <w:sz w:val="32"/>
          <w:szCs w:val="32"/>
          <w:highlight w:val="none"/>
          <w:lang w:val="en-US"/>
        </w:rPr>
        <w:t>20</w:t>
      </w:r>
      <w:r>
        <w:rPr>
          <w:rFonts w:hint="eastAsia" w:ascii="仿宋" w:hAnsi="仿宋" w:eastAsia="仿宋" w:cs="仿宋"/>
          <w:color w:val="auto"/>
          <w:sz w:val="32"/>
          <w:szCs w:val="32"/>
          <w:highlight w:val="none"/>
        </w:rPr>
        <w:t>年1月1日至202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年12月31日期间。</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val="en-US" w:eastAsia="zh-CN"/>
        </w:rPr>
        <w:t>凡已在往届</w:t>
      </w:r>
      <w:r>
        <w:rPr>
          <w:rFonts w:hint="eastAsia" w:ascii="仿宋" w:hAnsi="仿宋" w:eastAsia="仿宋" w:cs="仿宋"/>
          <w:color w:val="auto"/>
          <w:sz w:val="32"/>
          <w:szCs w:val="32"/>
          <w:highlight w:val="none"/>
        </w:rPr>
        <w:t>已经获得省级及以上哲学社会科学优秀成果奖、科技进步奖、省教育科学研究优秀成果奖、省中小学（幼儿园）教学成果奖</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省基础教育教学成果奖</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获奖</w:t>
      </w:r>
      <w:r>
        <w:rPr>
          <w:rFonts w:hint="eastAsia" w:ascii="仿宋" w:hAnsi="仿宋" w:eastAsia="仿宋" w:cs="仿宋"/>
          <w:color w:val="auto"/>
          <w:sz w:val="32"/>
          <w:szCs w:val="32"/>
          <w:highlight w:val="none"/>
        </w:rPr>
        <w:t>的成果，不再参加本次评奖。</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各市（州）、单位需严格审核遴选，省教育科学规划领导小组办公室将对拟获奖成果进行抽查审核，一旦发现以已获省级及以上成果奖的相同内容或高度雷同内容再度申报，取消其拟获奖资格，且成果主持人</w:t>
      </w:r>
      <w:r>
        <w:rPr>
          <w:rFonts w:hint="eastAsia" w:ascii="仿宋" w:hAnsi="仿宋" w:eastAsia="仿宋" w:cs="仿宋"/>
          <w:color w:val="auto"/>
          <w:sz w:val="32"/>
          <w:szCs w:val="32"/>
          <w:highlight w:val="none"/>
          <w:lang w:val="en-US"/>
        </w:rPr>
        <w:t>3</w:t>
      </w:r>
      <w:r>
        <w:rPr>
          <w:rFonts w:hint="eastAsia" w:ascii="仿宋" w:hAnsi="仿宋" w:eastAsia="仿宋" w:cs="仿宋"/>
          <w:color w:val="auto"/>
          <w:sz w:val="32"/>
          <w:szCs w:val="32"/>
          <w:highlight w:val="none"/>
        </w:rPr>
        <w:t>年不得再申报贵州省教育科学规划项目，负责组织遴选申报的市（州）、单位负相应责任。</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第三条  参评条件</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参评成果具有正确的政治方向，具有较高的学术价值、应用价值，研究方法科学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体现教育科学研究的新水平，科学解释和准确解答教育教学改革发展中的重点、难点、热点问题，或者有效解决教育教学实际问题。具体条件是：</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坚持社会主义价值取向及价值评价标准，正确运用马克思主义的立场、观点和方法进行科学研究。</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学术上坚持创新和质量导向。要求观点鲜明，资料翔实，数据准确，论据充分，逻辑严密，方法科学。</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学风端正，符合学术道德和学术规范要求。</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坚持实践标准。一切从实际出发，理论联系实际。以解决问题为指引，以实现目标为方向，以实际成效为标准。</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第四条  申报要求</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每项申报成果参与人不超过9人，单位成果只填写参与单位名称，总数不超过3个。</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各申报单位严格按限额推荐，不得占用本单位名额推荐外单位人员的成果。每位申报者只能申报一项成果。</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系列丛书只能以单本著作独立参评；多卷本专著整体申报参评，不能单卷参评。</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申报成果查重不能超过30%</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以中国知网查重报告为准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第五条  申报流程</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名额分配</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年教育科研成果评选奖励采取限额申报，名额分配如下：贵阳市、遵义市、毕节市各</w:t>
      </w:r>
      <w:r>
        <w:rPr>
          <w:rFonts w:hint="eastAsia" w:ascii="仿宋" w:hAnsi="仿宋" w:eastAsia="仿宋" w:cs="仿宋"/>
          <w:color w:val="auto"/>
          <w:sz w:val="32"/>
          <w:szCs w:val="32"/>
          <w:highlight w:val="none"/>
          <w:lang w:val="en-US" w:eastAsia="zh-CN"/>
        </w:rPr>
        <w:t>18</w:t>
      </w:r>
      <w:r>
        <w:rPr>
          <w:rFonts w:hint="eastAsia" w:ascii="仿宋" w:hAnsi="仿宋" w:eastAsia="仿宋" w:cs="仿宋"/>
          <w:color w:val="auto"/>
          <w:sz w:val="32"/>
          <w:szCs w:val="32"/>
          <w:highlight w:val="none"/>
        </w:rPr>
        <w:t>项；铜仁市、黔东南州、黔南州各</w:t>
      </w:r>
      <w:r>
        <w:rPr>
          <w:rFonts w:hint="eastAsia" w:ascii="仿宋" w:hAnsi="仿宋" w:eastAsia="仿宋" w:cs="仿宋"/>
          <w:color w:val="auto"/>
          <w:sz w:val="32"/>
          <w:szCs w:val="32"/>
          <w:highlight w:val="none"/>
          <w:lang w:val="en-US" w:eastAsia="zh-CN"/>
        </w:rPr>
        <w:t>13</w:t>
      </w:r>
      <w:r>
        <w:rPr>
          <w:rFonts w:hint="eastAsia" w:ascii="仿宋" w:hAnsi="仿宋" w:eastAsia="仿宋" w:cs="仿宋"/>
          <w:color w:val="auto"/>
          <w:sz w:val="32"/>
          <w:szCs w:val="32"/>
          <w:highlight w:val="none"/>
        </w:rPr>
        <w:t>项；六盘水市、安顺市、黔西南州各</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项；</w:t>
      </w:r>
      <w:r>
        <w:rPr>
          <w:rFonts w:hint="eastAsia" w:ascii="仿宋" w:hAnsi="仿宋" w:eastAsia="仿宋" w:cs="仿宋"/>
          <w:color w:val="auto"/>
          <w:sz w:val="32"/>
          <w:szCs w:val="32"/>
          <w:highlight w:val="none"/>
          <w:lang w:eastAsia="zh-CN"/>
        </w:rPr>
        <w:t>普通本科、高职本科</w:t>
      </w:r>
      <w:r>
        <w:rPr>
          <w:rFonts w:hint="eastAsia" w:ascii="仿宋" w:hAnsi="仿宋" w:eastAsia="仿宋" w:cs="仿宋"/>
          <w:color w:val="auto"/>
          <w:sz w:val="32"/>
          <w:szCs w:val="32"/>
          <w:highlight w:val="none"/>
        </w:rPr>
        <w:t>高校每校1</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项；民办高校、高职院校每校5项；省属中等职业学校、</w:t>
      </w:r>
      <w:r>
        <w:rPr>
          <w:rFonts w:hint="eastAsia" w:ascii="仿宋" w:hAnsi="仿宋" w:eastAsia="仿宋" w:cs="仿宋"/>
          <w:color w:val="auto"/>
          <w:sz w:val="32"/>
          <w:szCs w:val="32"/>
          <w:highlight w:val="none"/>
          <w:lang w:eastAsia="zh-CN"/>
        </w:rPr>
        <w:t>省</w:t>
      </w:r>
      <w:r>
        <w:rPr>
          <w:rFonts w:hint="eastAsia" w:ascii="仿宋" w:hAnsi="仿宋" w:eastAsia="仿宋" w:cs="仿宋"/>
          <w:color w:val="auto"/>
          <w:sz w:val="32"/>
          <w:szCs w:val="32"/>
          <w:highlight w:val="none"/>
        </w:rPr>
        <w:t>属普通高中每校2项；厅属事业单位每单位3项；省教育学会3项。</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申报材料</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（1）《贵州省教育科学研究优秀成果奖申报评审书》（附件2）一式2份</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（2）成果原件1份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如果公开发表的论文不能提供原件的，可以经单位审核，提供加盖单位公章的论文复印件全文，以及该论文在其公开发表的该期刊物的封面、目录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；支撑证明材料可用复印件加盖单位公章替代，原则上不超过3份。若支撑材料确实丰富的，可用A4纸装订成册，但厚度不得超过1厘米。</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（3）申报表格可在http://jyt.guizhou.gov.cn/贵州省教育厅政务网下载</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咨询报告、</w:t>
      </w:r>
      <w:r>
        <w:rPr>
          <w:rFonts w:hint="eastAsia" w:ascii="仿宋" w:hAnsi="仿宋" w:eastAsia="仿宋" w:cs="仿宋"/>
          <w:color w:val="auto"/>
          <w:sz w:val="32"/>
          <w:szCs w:val="32"/>
          <w:highlight w:val="none"/>
        </w:rPr>
        <w:t>研究报告、著作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工具书、教材</w:t>
      </w:r>
      <w:r>
        <w:rPr>
          <w:rFonts w:hint="eastAsia" w:ascii="仿宋" w:hAnsi="仿宋" w:eastAsia="仿宋" w:cs="仿宋"/>
          <w:color w:val="auto"/>
          <w:sz w:val="32"/>
          <w:szCs w:val="32"/>
          <w:highlight w:val="none"/>
        </w:rPr>
        <w:t>须提交查重报告1份，论文无须提交。</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申报时间</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各市（州）、各单位将本地区、本单位的申报材料汇总后，于202</w:t>
      </w:r>
      <w:r>
        <w:rPr>
          <w:rFonts w:hint="eastAsia" w:ascii="仿宋" w:hAnsi="仿宋" w:eastAsia="仿宋" w:cs="仿宋"/>
          <w:color w:val="auto"/>
          <w:sz w:val="32"/>
          <w:szCs w:val="32"/>
          <w:highlight w:val="none"/>
          <w:lang w:val="en-US"/>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14</w:t>
      </w:r>
      <w:r>
        <w:rPr>
          <w:rFonts w:hint="eastAsia" w:ascii="仿宋" w:hAnsi="仿宋" w:eastAsia="仿宋" w:cs="仿宋"/>
          <w:color w:val="auto"/>
          <w:sz w:val="32"/>
          <w:szCs w:val="32"/>
          <w:highlight w:val="none"/>
          <w:lang w:val="en-US" w:eastAsia="zh-CN"/>
        </w:rPr>
        <w:t>-19</w:t>
      </w:r>
      <w:r>
        <w:rPr>
          <w:rFonts w:hint="eastAsia" w:ascii="仿宋" w:hAnsi="仿宋" w:eastAsia="仿宋" w:cs="仿宋"/>
          <w:color w:val="auto"/>
          <w:sz w:val="32"/>
          <w:szCs w:val="32"/>
          <w:highlight w:val="none"/>
        </w:rPr>
        <w:t>日报送贵州省教育科学规划领导小组办公室（省教育厅综合楼</w:t>
      </w:r>
      <w:r>
        <w:rPr>
          <w:rFonts w:hint="eastAsia" w:ascii="仿宋" w:hAnsi="仿宋" w:eastAsia="仿宋" w:cs="仿宋"/>
          <w:color w:val="auto"/>
          <w:sz w:val="32"/>
          <w:szCs w:val="32"/>
          <w:highlight w:val="none"/>
          <w:lang w:val="en-US" w:eastAsia="zh-CN"/>
        </w:rPr>
        <w:t>410</w:t>
      </w:r>
      <w:r>
        <w:rPr>
          <w:rFonts w:hint="eastAsia" w:ascii="仿宋" w:hAnsi="仿宋" w:eastAsia="仿宋" w:cs="仿宋"/>
          <w:color w:val="auto"/>
          <w:sz w:val="32"/>
          <w:szCs w:val="32"/>
          <w:highlight w:val="none"/>
        </w:rPr>
        <w:t>室），同时将《申报书》、《汇总表》电子版发送至gzjkyghb@163.com邮箱。申报工作逾期不予受理。</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省教育科学规划领导小组办公室不直接受理个人申报。申报材料请自留副本，材料概不返回。</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第六条  奖项设置</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本届成果奖评审分为：著作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含工具书、教材</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、论文、</w:t>
      </w:r>
      <w:r>
        <w:rPr>
          <w:rFonts w:hint="eastAsia" w:ascii="仿宋" w:hAnsi="仿宋" w:eastAsia="仿宋" w:cs="仿宋"/>
          <w:color w:val="auto"/>
          <w:sz w:val="32"/>
          <w:szCs w:val="32"/>
          <w:highlight w:val="none"/>
          <w:lang w:val="en-US" w:eastAsia="zh-CN"/>
        </w:rPr>
        <w:t>研究报告和咨询报告四</w:t>
      </w:r>
      <w:r>
        <w:rPr>
          <w:rFonts w:hint="eastAsia" w:ascii="仿宋" w:hAnsi="仿宋" w:eastAsia="仿宋" w:cs="仿宋"/>
          <w:color w:val="auto"/>
          <w:sz w:val="32"/>
          <w:szCs w:val="32"/>
          <w:highlight w:val="none"/>
        </w:rPr>
        <w:t>个类别分别进行评审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分设一、二、三等奖。</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第七条  评奖要求</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评奖工作充分发扬学术民主，坚持公平、公正和公开的原则。</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宁缺毋滥，质量第一。评奖成果等级可以空缺但不得突破比例，上一等级空缺的名额可计入下一等级。</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任何个人和单位不得以任何方式干扰评奖工作，否则，一经查实，将撤销其参评资格，已获奖的取消获奖资格并予以通报。</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参加评审的专家和工作人员，不得徇私舞弊，否则，一经查实，将严肃处理。</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第八条  公示及异议处理</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经评审拟授奖的成果实行公示制度。任何单位和个人对公示的科研成果奖持有异议的，须在公示之日起5日内以书面形式向贵州省教育科学规划领导小组办公室举报和投诉。</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贵州省教育科学规划领导小组对举报问题进行核查，作出处理决定。</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举报和投诉范围：评审工作徇私舞弊及违反评审程序的；申报者剽窃他人成果、弄虚作假或以其他不正当手段谋取奖励的。</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以下异议不在投诉范围：申报者个人对自己成果的评审奖次的异议；未提交相关证明材料的异议。</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第九条  获奖公布</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获奖结果由贵州省教育厅予以公布，对获奖成果的主持人及成员，由省教育厅颁发获奖证书。</w:t>
      </w:r>
      <w:bookmarkStart w:id="0" w:name="_GoBack"/>
      <w:bookmarkEnd w:id="0"/>
    </w:p>
    <w:sectPr>
      <w:footerReference r:id="rId3" w:type="default"/>
      <w:footerReference r:id="rId4" w:type="even"/>
      <w:pgSz w:w="11906" w:h="16838"/>
      <w:pgMar w:top="1984" w:right="1701" w:bottom="170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EyMTNkMmNiMWU4Nzc5ZDI5YzJkYjZiYzE4OTIyODMifQ=="/>
  </w:docVars>
  <w:rsids>
    <w:rsidRoot w:val="00B53F07"/>
    <w:rsid w:val="000678BC"/>
    <w:rsid w:val="000A5B96"/>
    <w:rsid w:val="0012550D"/>
    <w:rsid w:val="00164B1B"/>
    <w:rsid w:val="00164E4E"/>
    <w:rsid w:val="001922F7"/>
    <w:rsid w:val="001C1261"/>
    <w:rsid w:val="001D6AE4"/>
    <w:rsid w:val="001E2694"/>
    <w:rsid w:val="00203374"/>
    <w:rsid w:val="00226F02"/>
    <w:rsid w:val="002C3A68"/>
    <w:rsid w:val="00317678"/>
    <w:rsid w:val="003577EB"/>
    <w:rsid w:val="00397AEF"/>
    <w:rsid w:val="003D59DD"/>
    <w:rsid w:val="003F0562"/>
    <w:rsid w:val="004423C2"/>
    <w:rsid w:val="0047590A"/>
    <w:rsid w:val="00477920"/>
    <w:rsid w:val="004C68BD"/>
    <w:rsid w:val="004E64D7"/>
    <w:rsid w:val="00501713"/>
    <w:rsid w:val="00523EB2"/>
    <w:rsid w:val="005778AD"/>
    <w:rsid w:val="005B141D"/>
    <w:rsid w:val="005B5837"/>
    <w:rsid w:val="005C4F91"/>
    <w:rsid w:val="005C74CD"/>
    <w:rsid w:val="005E033A"/>
    <w:rsid w:val="00615253"/>
    <w:rsid w:val="0066720E"/>
    <w:rsid w:val="00691C79"/>
    <w:rsid w:val="006E2DF1"/>
    <w:rsid w:val="006E3370"/>
    <w:rsid w:val="007D6961"/>
    <w:rsid w:val="008174A9"/>
    <w:rsid w:val="00871D68"/>
    <w:rsid w:val="00872CC3"/>
    <w:rsid w:val="008F4BA2"/>
    <w:rsid w:val="00960DF4"/>
    <w:rsid w:val="009725D1"/>
    <w:rsid w:val="009B1E13"/>
    <w:rsid w:val="00A35B30"/>
    <w:rsid w:val="00A91E24"/>
    <w:rsid w:val="00A93297"/>
    <w:rsid w:val="00A94105"/>
    <w:rsid w:val="00AA3D1F"/>
    <w:rsid w:val="00AA695C"/>
    <w:rsid w:val="00AB4D98"/>
    <w:rsid w:val="00AF1E57"/>
    <w:rsid w:val="00B238D6"/>
    <w:rsid w:val="00B27BF0"/>
    <w:rsid w:val="00B53F07"/>
    <w:rsid w:val="00BD5394"/>
    <w:rsid w:val="00C11268"/>
    <w:rsid w:val="00C13B56"/>
    <w:rsid w:val="00C347A4"/>
    <w:rsid w:val="00C45D40"/>
    <w:rsid w:val="00C57909"/>
    <w:rsid w:val="00C70CBF"/>
    <w:rsid w:val="00CD1FE1"/>
    <w:rsid w:val="00CE070C"/>
    <w:rsid w:val="00CE27C8"/>
    <w:rsid w:val="00D22778"/>
    <w:rsid w:val="00D77099"/>
    <w:rsid w:val="00D96625"/>
    <w:rsid w:val="00E32187"/>
    <w:rsid w:val="00E510D1"/>
    <w:rsid w:val="00E7565A"/>
    <w:rsid w:val="00E873F5"/>
    <w:rsid w:val="00EB112B"/>
    <w:rsid w:val="00EE01D8"/>
    <w:rsid w:val="00EE5A65"/>
    <w:rsid w:val="00F513D1"/>
    <w:rsid w:val="00F552BC"/>
    <w:rsid w:val="00F61C66"/>
    <w:rsid w:val="00FB482C"/>
    <w:rsid w:val="00FC12E0"/>
    <w:rsid w:val="01810283"/>
    <w:rsid w:val="01DA2D9E"/>
    <w:rsid w:val="02D16314"/>
    <w:rsid w:val="03DD7F34"/>
    <w:rsid w:val="0432735E"/>
    <w:rsid w:val="061711D6"/>
    <w:rsid w:val="06263838"/>
    <w:rsid w:val="09E97D3F"/>
    <w:rsid w:val="0A942F8F"/>
    <w:rsid w:val="0D5D3E94"/>
    <w:rsid w:val="0FDD130A"/>
    <w:rsid w:val="13516249"/>
    <w:rsid w:val="175507F4"/>
    <w:rsid w:val="19D21766"/>
    <w:rsid w:val="1C5044E0"/>
    <w:rsid w:val="1FC473C9"/>
    <w:rsid w:val="21DA38AD"/>
    <w:rsid w:val="226B58BD"/>
    <w:rsid w:val="22E23150"/>
    <w:rsid w:val="24160122"/>
    <w:rsid w:val="254A0D4A"/>
    <w:rsid w:val="268F6768"/>
    <w:rsid w:val="28184BF2"/>
    <w:rsid w:val="2A82258D"/>
    <w:rsid w:val="2C4D55E4"/>
    <w:rsid w:val="30A931B0"/>
    <w:rsid w:val="33514428"/>
    <w:rsid w:val="345A0C5F"/>
    <w:rsid w:val="35956011"/>
    <w:rsid w:val="36C14F98"/>
    <w:rsid w:val="36C56180"/>
    <w:rsid w:val="392F32A9"/>
    <w:rsid w:val="39F242FB"/>
    <w:rsid w:val="3D022BF3"/>
    <w:rsid w:val="3E4F1453"/>
    <w:rsid w:val="3FFB09FE"/>
    <w:rsid w:val="3FFE33BB"/>
    <w:rsid w:val="407B3234"/>
    <w:rsid w:val="408A49C4"/>
    <w:rsid w:val="427F259F"/>
    <w:rsid w:val="43E757F9"/>
    <w:rsid w:val="4651674B"/>
    <w:rsid w:val="47975891"/>
    <w:rsid w:val="4AC42F77"/>
    <w:rsid w:val="4C1E4213"/>
    <w:rsid w:val="4D9358D7"/>
    <w:rsid w:val="50080842"/>
    <w:rsid w:val="53F037F7"/>
    <w:rsid w:val="55E6075F"/>
    <w:rsid w:val="564A004F"/>
    <w:rsid w:val="5749719D"/>
    <w:rsid w:val="574D1E50"/>
    <w:rsid w:val="5758776A"/>
    <w:rsid w:val="5827444F"/>
    <w:rsid w:val="5A360A3D"/>
    <w:rsid w:val="5B1645F9"/>
    <w:rsid w:val="5B2732B5"/>
    <w:rsid w:val="5C2D1A67"/>
    <w:rsid w:val="5CD309E6"/>
    <w:rsid w:val="5D85257A"/>
    <w:rsid w:val="5EBA2F1E"/>
    <w:rsid w:val="5F812FDF"/>
    <w:rsid w:val="6687372F"/>
    <w:rsid w:val="673109BC"/>
    <w:rsid w:val="6FDFF0DE"/>
    <w:rsid w:val="75A44ED9"/>
    <w:rsid w:val="77C03A05"/>
    <w:rsid w:val="79652BD2"/>
    <w:rsid w:val="7B743905"/>
    <w:rsid w:val="7BB35E76"/>
    <w:rsid w:val="7BDF7FCA"/>
    <w:rsid w:val="7DE96CEB"/>
    <w:rsid w:val="7E2748F9"/>
    <w:rsid w:val="BBFEB7C2"/>
    <w:rsid w:val="BFEFEDA2"/>
    <w:rsid w:val="D8FD438D"/>
    <w:rsid w:val="DBB6CDC2"/>
    <w:rsid w:val="FD9E9F8A"/>
    <w:rsid w:val="FE75B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5</Pages>
  <Words>312</Words>
  <Characters>1782</Characters>
  <Lines>14</Lines>
  <Paragraphs>4</Paragraphs>
  <TotalTime>3</TotalTime>
  <ScaleCrop>false</ScaleCrop>
  <LinksUpToDate>false</LinksUpToDate>
  <CharactersWithSpaces>2090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2020-12-26T16:41:00Z</dcterms:created>
  <dc:creator>深度联盟http:/sdwm.org</dc:creator>
  <cp:lastModifiedBy>gzjyt</cp:lastModifiedBy>
  <cp:lastPrinted>2025-06-23T06:43:46Z</cp:lastPrinted>
  <dcterms:modified xsi:type="dcterms:W3CDTF">2025-06-23T06:43:49Z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EAE74F583CCE4478B63CBDDCB3BE5BEF</vt:lpwstr>
  </property>
</Properties>
</file>