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napToGrid w:val="0"/>
        <w:rPr>
          <w:rFonts w:hint="eastAsia" w:ascii="Times New Roman" w:hAnsi="Times New Roman" w:eastAsia="黑体" w:cs="Times New Roman"/>
          <w:b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b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b/>
          <w:sz w:val="32"/>
          <w:szCs w:val="32"/>
          <w:lang w:val="en-US" w:eastAsia="zh-CN"/>
        </w:rPr>
        <w:t>2</w:t>
      </w:r>
    </w:p>
    <w:p/>
    <w:p>
      <w:pPr>
        <w:pStyle w:val="2"/>
        <w:ind w:left="0" w:leftChars="0" w:firstLine="0" w:firstLineChars="0"/>
      </w:pPr>
    </w:p>
    <w:p>
      <w:pPr>
        <w:pStyle w:val="2"/>
        <w:ind w:firstLine="560"/>
      </w:pPr>
    </w:p>
    <w:p>
      <w:pPr>
        <w:tabs>
          <w:tab w:val="center" w:pos="4153"/>
          <w:tab w:val="right" w:pos="8306"/>
        </w:tabs>
        <w:jc w:val="center"/>
        <w:rPr>
          <w:rFonts w:hint="default" w:asciiTheme="majorEastAsia" w:hAnsiTheme="majorEastAsia" w:eastAsiaTheme="majorEastAsia"/>
          <w:b/>
          <w:sz w:val="52"/>
          <w:szCs w:val="52"/>
        </w:rPr>
      </w:pPr>
      <w:r>
        <w:rPr>
          <w:rFonts w:hint="default" w:asciiTheme="majorEastAsia" w:hAnsiTheme="majorEastAsia" w:eastAsiaTheme="majorEastAsia"/>
          <w:b/>
          <w:sz w:val="52"/>
          <w:szCs w:val="52"/>
        </w:rPr>
        <w:t>贵州省</w:t>
      </w:r>
      <w:r>
        <w:rPr>
          <w:rFonts w:hint="eastAsia" w:asciiTheme="majorEastAsia" w:hAnsiTheme="majorEastAsia" w:eastAsiaTheme="majorEastAsia"/>
          <w:b/>
          <w:sz w:val="52"/>
          <w:szCs w:val="52"/>
          <w:lang w:val="en-US" w:eastAsia="zh-Hans"/>
        </w:rPr>
        <w:t>少数民族高层次骨干人才研</w:t>
      </w:r>
      <w:bookmarkStart w:id="10" w:name="_GoBack"/>
      <w:bookmarkEnd w:id="10"/>
      <w:r>
        <w:rPr>
          <w:rFonts w:hint="eastAsia" w:asciiTheme="majorEastAsia" w:hAnsiTheme="majorEastAsia" w:eastAsiaTheme="majorEastAsia"/>
          <w:b/>
          <w:sz w:val="52"/>
          <w:szCs w:val="52"/>
          <w:lang w:val="en-US" w:eastAsia="zh-Hans"/>
        </w:rPr>
        <w:t>究生资格审查</w:t>
      </w:r>
      <w:r>
        <w:rPr>
          <w:rFonts w:hint="default" w:asciiTheme="majorEastAsia" w:hAnsiTheme="majorEastAsia" w:eastAsiaTheme="majorEastAsia"/>
          <w:b/>
          <w:sz w:val="52"/>
          <w:szCs w:val="52"/>
        </w:rPr>
        <w:t>系统</w:t>
      </w:r>
    </w:p>
    <w:p>
      <w:pPr>
        <w:pStyle w:val="2"/>
        <w:rPr>
          <w:rFonts w:hint="default" w:asciiTheme="majorEastAsia" w:hAnsiTheme="majorEastAsia" w:eastAsiaTheme="majorEastAsia"/>
          <w:b/>
          <w:sz w:val="52"/>
          <w:szCs w:val="52"/>
        </w:rPr>
      </w:pPr>
    </w:p>
    <w:p>
      <w:pPr>
        <w:pStyle w:val="2"/>
        <w:ind w:left="0" w:leftChars="0" w:firstLine="0" w:firstLineChars="0"/>
        <w:jc w:val="center"/>
        <w:rPr>
          <w:rFonts w:hint="eastAsia" w:asciiTheme="majorEastAsia" w:hAnsiTheme="majorEastAsia" w:eastAsiaTheme="majorEastAsia"/>
          <w:b w:val="0"/>
          <w:bCs/>
          <w:sz w:val="44"/>
          <w:szCs w:val="44"/>
        </w:rPr>
      </w:pPr>
      <w:r>
        <w:rPr>
          <w:rFonts w:hint="default" w:asciiTheme="majorEastAsia" w:hAnsiTheme="majorEastAsia" w:eastAsiaTheme="majorEastAsia"/>
          <w:b w:val="0"/>
          <w:bCs/>
          <w:sz w:val="44"/>
          <w:szCs w:val="44"/>
        </w:rPr>
        <w:t>操作手册-</w:t>
      </w:r>
      <w:r>
        <w:rPr>
          <w:rFonts w:hint="eastAsia" w:asciiTheme="majorEastAsia" w:hAnsiTheme="majorEastAsia" w:eastAsiaTheme="majorEastAsia"/>
          <w:b w:val="0"/>
          <w:bCs/>
          <w:sz w:val="44"/>
          <w:szCs w:val="44"/>
          <w:lang w:val="en-US" w:eastAsia="zh-Hans"/>
        </w:rPr>
        <w:t>报名考生</w:t>
      </w:r>
    </w:p>
    <w:p>
      <w:pPr>
        <w:pStyle w:val="2"/>
        <w:ind w:firstLine="883"/>
        <w:rPr>
          <w:rFonts w:asciiTheme="majorEastAsia" w:hAnsiTheme="majorEastAsia" w:eastAsiaTheme="majorEastAsia"/>
          <w:b/>
          <w:sz w:val="44"/>
          <w:szCs w:val="44"/>
        </w:rPr>
      </w:pPr>
    </w:p>
    <w:p>
      <w:pPr>
        <w:pStyle w:val="2"/>
        <w:ind w:firstLine="883"/>
        <w:rPr>
          <w:rFonts w:asciiTheme="majorEastAsia" w:hAnsiTheme="majorEastAsia" w:eastAsiaTheme="majorEastAsia"/>
          <w:b/>
          <w:sz w:val="44"/>
          <w:szCs w:val="44"/>
        </w:rPr>
      </w:pPr>
    </w:p>
    <w:p>
      <w:pPr>
        <w:pStyle w:val="2"/>
        <w:ind w:firstLine="883"/>
        <w:rPr>
          <w:rFonts w:asciiTheme="majorEastAsia" w:hAnsiTheme="majorEastAsia" w:eastAsiaTheme="majorEastAsia"/>
          <w:b/>
          <w:sz w:val="44"/>
          <w:szCs w:val="44"/>
        </w:rPr>
      </w:pPr>
    </w:p>
    <w:p>
      <w:pPr>
        <w:pStyle w:val="2"/>
        <w:ind w:firstLine="883"/>
        <w:rPr>
          <w:rFonts w:asciiTheme="majorEastAsia" w:hAnsiTheme="majorEastAsia" w:eastAsiaTheme="majorEastAsia"/>
          <w:b/>
          <w:sz w:val="44"/>
          <w:szCs w:val="44"/>
        </w:rPr>
      </w:pPr>
    </w:p>
    <w:p>
      <w:pPr>
        <w:jc w:val="both"/>
        <w:rPr>
          <w:rFonts w:hint="eastAsia" w:asciiTheme="majorEastAsia" w:hAnsiTheme="majorEastAsia" w:eastAsiaTheme="majorEastAsia"/>
          <w:b/>
          <w:szCs w:val="28"/>
        </w:rPr>
      </w:pPr>
    </w:p>
    <w:p>
      <w:pPr>
        <w:jc w:val="both"/>
        <w:rPr>
          <w:rFonts w:hint="eastAsia" w:asciiTheme="majorEastAsia" w:hAnsiTheme="majorEastAsia" w:eastAsiaTheme="majorEastAsia"/>
          <w:b/>
          <w:szCs w:val="28"/>
        </w:rPr>
      </w:pPr>
    </w:p>
    <w:p>
      <w:pPr>
        <w:jc w:val="both"/>
        <w:rPr>
          <w:rFonts w:hint="eastAsia" w:asciiTheme="majorEastAsia" w:hAnsiTheme="majorEastAsia" w:eastAsiaTheme="majorEastAsia"/>
          <w:b/>
          <w:szCs w:val="28"/>
        </w:rPr>
      </w:pPr>
    </w:p>
    <w:p>
      <w:pPr>
        <w:jc w:val="center"/>
        <w:rPr>
          <w:rFonts w:hint="default" w:asciiTheme="majorEastAsia" w:hAnsiTheme="majorEastAsia" w:eastAsiaTheme="majorEastAsia"/>
          <w:b/>
          <w:szCs w:val="28"/>
          <w:lang w:val="en-US" w:eastAsia="zh-CN"/>
        </w:rPr>
      </w:pPr>
      <w:r>
        <w:rPr>
          <w:rFonts w:hint="eastAsia" w:asciiTheme="majorEastAsia" w:hAnsiTheme="majorEastAsia" w:eastAsiaTheme="majorEastAsia"/>
          <w:b/>
          <w:szCs w:val="28"/>
        </w:rPr>
        <w:t>20</w:t>
      </w:r>
      <w:r>
        <w:rPr>
          <w:rFonts w:asciiTheme="majorEastAsia" w:hAnsiTheme="majorEastAsia" w:eastAsiaTheme="majorEastAsia"/>
          <w:b/>
          <w:szCs w:val="28"/>
        </w:rPr>
        <w:t>2</w:t>
      </w:r>
      <w:r>
        <w:rPr>
          <w:rFonts w:hint="eastAsia" w:asciiTheme="majorEastAsia" w:hAnsiTheme="majorEastAsia" w:eastAsiaTheme="majorEastAsia"/>
          <w:b/>
          <w:szCs w:val="28"/>
          <w:lang w:val="en-US" w:eastAsia="zh-CN"/>
        </w:rPr>
        <w:t>2</w:t>
      </w:r>
      <w:r>
        <w:rPr>
          <w:rFonts w:hint="eastAsia" w:asciiTheme="majorEastAsia" w:hAnsiTheme="majorEastAsia" w:eastAsiaTheme="majorEastAsia"/>
          <w:b/>
          <w:szCs w:val="28"/>
        </w:rPr>
        <w:t>年</w:t>
      </w:r>
    </w:p>
    <w:p>
      <w:pPr>
        <w:pStyle w:val="2"/>
        <w:ind w:firstLine="562"/>
        <w:rPr>
          <w:rFonts w:asciiTheme="majorEastAsia" w:hAnsiTheme="majorEastAsia" w:eastAsiaTheme="majorEastAsia"/>
          <w:b/>
          <w:szCs w:val="28"/>
        </w:rPr>
      </w:pPr>
    </w:p>
    <w:p>
      <w:pPr>
        <w:pStyle w:val="2"/>
        <w:ind w:left="0" w:leftChars="0" w:firstLine="0" w:firstLineChars="0"/>
        <w:rPr>
          <w:rFonts w:asciiTheme="majorEastAsia" w:hAnsiTheme="majorEastAsia" w:eastAsiaTheme="majorEastAsia"/>
          <w:b/>
          <w:szCs w:val="28"/>
        </w:rPr>
      </w:pPr>
    </w:p>
    <w:p>
      <w:pPr>
        <w:pStyle w:val="2"/>
        <w:ind w:left="0" w:leftChars="0" w:firstLine="0" w:firstLineChars="0"/>
        <w:rPr>
          <w:rFonts w:asciiTheme="majorEastAsia" w:hAnsiTheme="majorEastAsia" w:eastAsiaTheme="majorEastAsia"/>
          <w:b/>
          <w:szCs w:val="28"/>
        </w:rPr>
      </w:pPr>
    </w:p>
    <w:sdt>
      <w:sdtPr>
        <w:rPr>
          <w:rFonts w:hint="eastAsia" w:asciiTheme="minorEastAsia" w:hAnsiTheme="minorEastAsia" w:eastAsiaTheme="minorEastAsia" w:cstheme="minorEastAsia"/>
          <w:sz w:val="32"/>
          <w:szCs w:val="36"/>
        </w:rPr>
        <w:id w:val="471498480"/>
      </w:sdtPr>
      <w:sdtEndPr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sdtEndPr>
      <w:sdtContent>
        <w:p>
          <w:pPr>
            <w:spacing w:line="240" w:lineRule="auto"/>
            <w:jc w:val="center"/>
            <w:rPr>
              <w:rFonts w:hint="eastAsia" w:asciiTheme="minorEastAsia" w:hAnsiTheme="minorEastAsia" w:eastAsiaTheme="minorEastAsia" w:cstheme="minorEastAsia"/>
              <w:sz w:val="40"/>
              <w:szCs w:val="32"/>
            </w:rPr>
          </w:pPr>
          <w:r>
            <w:rPr>
              <w:rFonts w:hint="eastAsia" w:asciiTheme="minorEastAsia" w:hAnsiTheme="minorEastAsia" w:eastAsiaTheme="minorEastAsia" w:cstheme="minorEastAsia"/>
              <w:szCs w:val="32"/>
            </w:rPr>
            <w:t>目录</w:t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b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sz w:val="24"/>
              <w:szCs w:val="24"/>
            </w:rPr>
            <w:instrText xml:space="preserve">TOC \o "1-3" \h \u </w:instrText>
          </w:r>
          <w:r>
            <w:rPr>
              <w:rFonts w:hint="eastAsia" w:asciiTheme="minorEastAsia" w:hAnsiTheme="minorEastAsia" w:eastAsiaTheme="minorEastAsia" w:cstheme="minorEastAsia"/>
              <w:b/>
              <w:sz w:val="24"/>
              <w:szCs w:val="24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instrText xml:space="preserve"> HYPERLINK \l _Toc1674878219 </w:instrText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separate"/>
          </w:r>
          <w:r>
            <w:rPr>
              <w:rFonts w:hint="eastAsia" w:ascii="宋体" w:hAnsi="宋体" w:eastAsia="宋体"/>
              <w:szCs w:val="24"/>
            </w:rPr>
            <w:t xml:space="preserve">一 </w:t>
          </w:r>
          <w:r>
            <w:rPr>
              <w:rFonts w:hint="default" w:ascii="宋体" w:hAnsi="宋体"/>
              <w:szCs w:val="24"/>
            </w:rPr>
            <w:t>引言</w:t>
          </w:r>
          <w:r>
            <w:tab/>
          </w:r>
          <w:r>
            <w:fldChar w:fldCharType="begin"/>
          </w:r>
          <w:r>
            <w:instrText xml:space="preserve"> PAGEREF _Toc1674878219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instrText xml:space="preserve"> HYPERLINK \l _Toc462581857 </w:instrText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separate"/>
          </w:r>
          <w:r>
            <w:rPr>
              <w:rFonts w:hint="eastAsia" w:ascii="宋体" w:hAnsi="宋体" w:eastAsia="宋体"/>
              <w:szCs w:val="28"/>
            </w:rPr>
            <w:t xml:space="preserve">1.1 </w:t>
          </w:r>
          <w:r>
            <w:rPr>
              <w:rFonts w:hint="default" w:ascii="宋体" w:hAnsi="宋体" w:eastAsia="宋体"/>
              <w:szCs w:val="28"/>
            </w:rPr>
            <w:t>编写目的</w:t>
          </w:r>
          <w:r>
            <w:tab/>
          </w:r>
          <w:r>
            <w:fldChar w:fldCharType="begin"/>
          </w:r>
          <w:r>
            <w:instrText xml:space="preserve"> PAGEREF _Toc462581857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instrText xml:space="preserve"> HYPERLINK \l _Toc722468459 </w:instrText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separate"/>
          </w:r>
          <w:r>
            <w:rPr>
              <w:rFonts w:hint="eastAsia" w:ascii="宋体" w:hAnsi="宋体" w:eastAsia="宋体"/>
              <w:szCs w:val="28"/>
            </w:rPr>
            <w:t xml:space="preserve">1.2 </w:t>
          </w:r>
          <w:r>
            <w:rPr>
              <w:rFonts w:hint="default" w:ascii="宋体" w:hAnsi="宋体" w:eastAsia="宋体"/>
              <w:szCs w:val="28"/>
            </w:rPr>
            <w:t>适用范围</w:t>
          </w:r>
          <w:r>
            <w:tab/>
          </w:r>
          <w:r>
            <w:fldChar w:fldCharType="begin"/>
          </w:r>
          <w:r>
            <w:instrText xml:space="preserve"> PAGEREF _Toc722468459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instrText xml:space="preserve"> HYPERLINK \l _Toc654850275 </w:instrText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separate"/>
          </w:r>
          <w:r>
            <w:rPr>
              <w:rFonts w:hint="eastAsia" w:ascii="宋体" w:hAnsi="宋体" w:eastAsia="宋体"/>
              <w:szCs w:val="24"/>
            </w:rPr>
            <w:t xml:space="preserve">二 </w:t>
          </w:r>
          <w:r>
            <w:rPr>
              <w:rFonts w:hint="default" w:ascii="宋体" w:hAnsi="宋体" w:eastAsia="宋体"/>
              <w:szCs w:val="24"/>
            </w:rPr>
            <w:t>系统使用说明</w:t>
          </w:r>
          <w:r>
            <w:tab/>
          </w:r>
          <w:r>
            <w:fldChar w:fldCharType="begin"/>
          </w:r>
          <w:r>
            <w:instrText xml:space="preserve"> PAGEREF _Toc654850275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instrText xml:space="preserve"> HYPERLINK \l _Toc214881050 </w:instrText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separate"/>
          </w:r>
          <w:r>
            <w:rPr>
              <w:rFonts w:hint="eastAsia" w:ascii="宋体" w:hAnsi="宋体"/>
              <w:szCs w:val="24"/>
            </w:rPr>
            <w:t xml:space="preserve">三 </w:t>
          </w:r>
          <w:r>
            <w:rPr>
              <w:rFonts w:ascii="宋体" w:hAnsi="宋体"/>
              <w:szCs w:val="24"/>
            </w:rPr>
            <w:t>操作说明</w:t>
          </w:r>
          <w:r>
            <w:tab/>
          </w:r>
          <w:r>
            <w:fldChar w:fldCharType="begin"/>
          </w:r>
          <w:r>
            <w:instrText xml:space="preserve"> PAGEREF _Toc214881050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instrText xml:space="preserve"> HYPERLINK \l _Toc1585796743 </w:instrText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separate"/>
          </w:r>
          <w:r>
            <w:rPr>
              <w:rFonts w:hint="eastAsia" w:ascii="宋体" w:hAnsi="宋体" w:eastAsia="宋体"/>
              <w:szCs w:val="28"/>
            </w:rPr>
            <w:t xml:space="preserve">3.1 </w:t>
          </w:r>
          <w:r>
            <w:rPr>
              <w:rFonts w:hint="eastAsia" w:ascii="宋体" w:hAnsi="宋体" w:eastAsia="宋体"/>
              <w:szCs w:val="28"/>
              <w:lang w:val="en-US" w:eastAsia="zh-Hans"/>
            </w:rPr>
            <w:t>注册登录</w:t>
          </w:r>
          <w:r>
            <w:tab/>
          </w:r>
          <w:r>
            <w:fldChar w:fldCharType="begin"/>
          </w:r>
          <w:r>
            <w:instrText xml:space="preserve"> PAGEREF _Toc1585796743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instrText xml:space="preserve"> HYPERLINK \l _Toc66316684 </w:instrText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separate"/>
          </w:r>
          <w:r>
            <w:rPr>
              <w:rFonts w:hint="eastAsia" w:ascii="宋体" w:hAnsi="宋体" w:eastAsia="宋体"/>
              <w:szCs w:val="28"/>
              <w:lang w:val="en-US" w:eastAsia="zh-Hans"/>
            </w:rPr>
            <w:t>3.2 考生报名</w:t>
          </w:r>
          <w:r>
            <w:tab/>
          </w:r>
          <w:r>
            <w:fldChar w:fldCharType="begin"/>
          </w:r>
          <w:r>
            <w:instrText xml:space="preserve"> PAGEREF _Toc66316684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instrText xml:space="preserve"> HYPERLINK \l _Toc40495195 </w:instrText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separate"/>
          </w:r>
          <w:r>
            <w:rPr>
              <w:rFonts w:hint="eastAsia" w:ascii="宋体" w:hAnsi="宋体" w:eastAsia="宋体"/>
              <w:szCs w:val="28"/>
              <w:lang w:val="en-US" w:eastAsia="zh-Hans"/>
            </w:rPr>
            <w:t>3.3 下载考生登记表及获取校验码</w:t>
          </w:r>
          <w:r>
            <w:tab/>
          </w:r>
          <w:r>
            <w:fldChar w:fldCharType="begin"/>
          </w:r>
          <w:r>
            <w:instrText xml:space="preserve"> PAGEREF _Toc40495195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end"/>
          </w:r>
        </w:p>
        <w:p>
          <w:pPr>
            <w:pStyle w:val="2"/>
            <w:ind w:firstLine="560"/>
            <w:rPr>
              <w:rFonts w:hint="eastAsia" w:asciiTheme="minorEastAsia" w:hAnsiTheme="minorEastAsia" w:eastAsiaTheme="minorEastAsia" w:cstheme="minorEastAsia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end"/>
          </w:r>
          <w:bookmarkStart w:id="0" w:name="OLE_LINK2"/>
          <w:bookmarkStart w:id="1" w:name="OLE_LINK3"/>
        </w:p>
        <w:p>
          <w:pPr>
            <w:pStyle w:val="2"/>
            <w:ind w:firstLine="560"/>
            <w:rPr>
              <w:rFonts w:hint="eastAsia" w:asciiTheme="minorEastAsia" w:hAnsiTheme="minorEastAsia" w:eastAsiaTheme="minorEastAsia" w:cstheme="minorEastAsia"/>
              <w:szCs w:val="24"/>
            </w:rPr>
          </w:pPr>
        </w:p>
        <w:p>
          <w:pPr>
            <w:pStyle w:val="2"/>
            <w:ind w:firstLine="560"/>
            <w:rPr>
              <w:rFonts w:hint="eastAsia" w:asciiTheme="minorEastAsia" w:hAnsiTheme="minorEastAsia" w:eastAsiaTheme="minorEastAsia" w:cstheme="minorEastAsia"/>
              <w:szCs w:val="24"/>
            </w:rPr>
          </w:pPr>
        </w:p>
        <w:p>
          <w:pPr>
            <w:pStyle w:val="2"/>
            <w:ind w:firstLine="560"/>
            <w:rPr>
              <w:rFonts w:hint="eastAsia" w:asciiTheme="minorEastAsia" w:hAnsiTheme="minorEastAsia" w:eastAsiaTheme="minorEastAsia" w:cstheme="minorEastAsia"/>
              <w:szCs w:val="24"/>
            </w:rPr>
          </w:pPr>
        </w:p>
        <w:p>
          <w:pPr>
            <w:pStyle w:val="2"/>
            <w:ind w:firstLine="560"/>
            <w:rPr>
              <w:rFonts w:hint="eastAsia" w:asciiTheme="minorEastAsia" w:hAnsiTheme="minorEastAsia" w:eastAsiaTheme="minorEastAsia" w:cstheme="minorEastAsia"/>
              <w:szCs w:val="24"/>
            </w:rPr>
          </w:pPr>
        </w:p>
        <w:p>
          <w:pPr>
            <w:pStyle w:val="2"/>
            <w:ind w:firstLine="560"/>
            <w:rPr>
              <w:rFonts w:hint="eastAsia" w:asciiTheme="minorEastAsia" w:hAnsiTheme="minorEastAsia" w:eastAsiaTheme="minorEastAsia" w:cstheme="minorEastAsia"/>
              <w:sz w:val="28"/>
              <w:szCs w:val="28"/>
              <w:lang w:val="en-US"/>
            </w:rPr>
          </w:pPr>
        </w:p>
        <w:p>
          <w:pPr>
            <w:pStyle w:val="2"/>
            <w:ind w:firstLine="560"/>
            <w:rPr>
              <w:rFonts w:hint="eastAsia" w:asciiTheme="minorEastAsia" w:hAnsiTheme="minorEastAsia" w:eastAsiaTheme="minorEastAsia" w:cstheme="minorEastAsia"/>
              <w:sz w:val="28"/>
              <w:szCs w:val="28"/>
              <w:lang w:val="en-US"/>
            </w:rPr>
          </w:pPr>
        </w:p>
        <w:p>
          <w:pPr>
            <w:pStyle w:val="2"/>
            <w:ind w:firstLine="560"/>
            <w:rPr>
              <w:rFonts w:hint="eastAsia" w:asciiTheme="minorEastAsia" w:hAnsiTheme="minorEastAsia" w:eastAsiaTheme="minorEastAsia" w:cstheme="minorEastAsia"/>
              <w:sz w:val="28"/>
              <w:szCs w:val="28"/>
              <w:lang w:val="en-US"/>
            </w:rPr>
          </w:pPr>
        </w:p>
        <w:p>
          <w:pPr>
            <w:pStyle w:val="2"/>
            <w:ind w:firstLine="560"/>
            <w:rPr>
              <w:rFonts w:hint="eastAsia" w:asciiTheme="minorEastAsia" w:hAnsiTheme="minorEastAsia" w:eastAsiaTheme="minorEastAsia" w:cstheme="minorEastAsia"/>
              <w:sz w:val="28"/>
              <w:szCs w:val="28"/>
              <w:lang w:val="en-US"/>
            </w:rPr>
          </w:pPr>
        </w:p>
        <w:p>
          <w:pPr>
            <w:pStyle w:val="2"/>
            <w:ind w:firstLine="560"/>
            <w:rPr>
              <w:rFonts w:hint="eastAsia" w:asciiTheme="minorEastAsia" w:hAnsiTheme="minorEastAsia" w:eastAsiaTheme="minorEastAsia" w:cstheme="minorEastAsia"/>
              <w:sz w:val="28"/>
              <w:szCs w:val="28"/>
              <w:lang w:val="en-US"/>
            </w:rPr>
          </w:pPr>
        </w:p>
        <w:p>
          <w:pPr>
            <w:pStyle w:val="2"/>
            <w:ind w:firstLine="560"/>
          </w:pPr>
        </w:p>
      </w:sdtContent>
    </w:sdt>
    <w:p>
      <w:pPr>
        <w:pStyle w:val="3"/>
        <w:spacing w:beforeLines="50" w:afterLines="50" w:line="360" w:lineRule="auto"/>
        <w:ind w:left="0" w:firstLine="0"/>
        <w:rPr>
          <w:rFonts w:hint="eastAsia" w:ascii="宋体" w:hAnsi="宋体" w:eastAsia="宋体"/>
          <w:sz w:val="24"/>
          <w:szCs w:val="24"/>
        </w:rPr>
      </w:pPr>
      <w:bookmarkStart w:id="2" w:name="_Toc1674878219"/>
      <w:r>
        <w:rPr>
          <w:rFonts w:hint="default" w:ascii="宋体" w:hAnsi="宋体"/>
          <w:sz w:val="24"/>
          <w:szCs w:val="24"/>
        </w:rPr>
        <w:t>引言</w:t>
      </w:r>
      <w:bookmarkEnd w:id="2"/>
    </w:p>
    <w:p>
      <w:pPr>
        <w:pStyle w:val="4"/>
        <w:spacing w:before="163" w:beforeLines="50" w:after="163" w:afterLines="50" w:line="360" w:lineRule="auto"/>
        <w:ind w:left="578" w:hanging="578"/>
        <w:rPr>
          <w:rFonts w:hint="default" w:ascii="宋体" w:hAnsi="宋体" w:eastAsia="宋体"/>
          <w:sz w:val="24"/>
          <w:szCs w:val="28"/>
        </w:rPr>
      </w:pPr>
      <w:bookmarkStart w:id="3" w:name="_Toc462581857"/>
      <w:r>
        <w:rPr>
          <w:rFonts w:hint="default" w:ascii="宋体" w:hAnsi="宋体" w:eastAsia="宋体"/>
          <w:sz w:val="24"/>
          <w:szCs w:val="28"/>
        </w:rPr>
        <w:t>编写目的</w:t>
      </w:r>
      <w:bookmarkEnd w:id="3"/>
    </w:p>
    <w:p>
      <w:pPr>
        <w:ind w:firstLine="560" w:firstLineChars="200"/>
        <w:rPr>
          <w:rFonts w:hint="default" w:ascii="宋体" w:hAnsi="宋体" w:cs="Arial"/>
          <w:shd w:val="clear" w:color="auto" w:fill="FFFFFF"/>
        </w:rPr>
      </w:pPr>
      <w:r>
        <w:rPr>
          <w:rFonts w:hint="default" w:ascii="宋体" w:hAnsi="宋体" w:cs="Arial"/>
          <w:shd w:val="clear" w:color="auto" w:fill="FFFFFF"/>
        </w:rPr>
        <w:t>《贵州省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少数民族高层次骨干人才研究生资格审查</w:t>
      </w:r>
      <w:r>
        <w:rPr>
          <w:rFonts w:hint="default" w:ascii="宋体" w:hAnsi="宋体" w:cs="Arial"/>
          <w:shd w:val="clear" w:color="auto" w:fill="FFFFFF"/>
        </w:rPr>
        <w:t>系统操作手册》</w:t>
      </w:r>
      <w:r>
        <w:rPr>
          <w:rFonts w:hint="eastAsia" w:ascii="宋体" w:hAnsi="宋体" w:cs="Arial"/>
          <w:shd w:val="clear" w:color="auto" w:fill="FFFFFF"/>
        </w:rPr>
        <w:t>是对</w:t>
      </w:r>
      <w:r>
        <w:rPr>
          <w:rFonts w:hint="default" w:ascii="宋体" w:hAnsi="宋体" w:cs="Arial"/>
          <w:shd w:val="clear" w:color="auto" w:fill="FFFFFF"/>
        </w:rPr>
        <w:t>贵州省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少数民族高层次骨干人才研究生资格审查</w:t>
      </w:r>
      <w:r>
        <w:rPr>
          <w:rFonts w:hint="default" w:ascii="宋体" w:hAnsi="宋体" w:cs="Arial"/>
          <w:shd w:val="clear" w:color="auto" w:fill="FFFFFF"/>
        </w:rPr>
        <w:t>系统</w:t>
      </w:r>
      <w:r>
        <w:rPr>
          <w:rFonts w:hint="eastAsia" w:ascii="宋体" w:hAnsi="宋体" w:cs="Arial"/>
          <w:shd w:val="clear" w:color="auto" w:fill="FFFFFF"/>
        </w:rPr>
        <w:t>功能的详细描述。通过该操作手册指引，用户可以熟练使用本系统。</w:t>
      </w:r>
    </w:p>
    <w:p>
      <w:pPr>
        <w:pStyle w:val="4"/>
        <w:spacing w:before="163" w:beforeLines="50" w:after="163" w:afterLines="50" w:line="360" w:lineRule="auto"/>
        <w:ind w:left="578" w:hanging="578"/>
        <w:rPr>
          <w:rFonts w:hint="default" w:ascii="宋体" w:hAnsi="宋体" w:eastAsia="宋体"/>
          <w:sz w:val="24"/>
          <w:szCs w:val="28"/>
        </w:rPr>
      </w:pPr>
      <w:bookmarkStart w:id="4" w:name="_Toc722468459"/>
      <w:r>
        <w:rPr>
          <w:rFonts w:hint="default" w:ascii="宋体" w:hAnsi="宋体" w:eastAsia="宋体"/>
          <w:sz w:val="24"/>
          <w:szCs w:val="28"/>
        </w:rPr>
        <w:t>适用范围</w:t>
      </w:r>
      <w:bookmarkEnd w:id="4"/>
    </w:p>
    <w:p>
      <w:pPr>
        <w:ind w:firstLine="560" w:firstLineChars="200"/>
        <w:rPr>
          <w:rFonts w:hint="eastAsia" w:ascii="宋体" w:hAnsi="宋体" w:cs="Arial"/>
          <w:shd w:val="clear" w:color="auto" w:fill="FFFFFF"/>
        </w:rPr>
      </w:pPr>
      <w:r>
        <w:rPr>
          <w:rFonts w:hint="eastAsia" w:ascii="宋体" w:hAnsi="宋体" w:cs="Arial"/>
          <w:shd w:val="clear" w:color="auto" w:fill="FFFFFF"/>
        </w:rPr>
        <w:t>本文档面向的读者为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报名端用户</w:t>
      </w:r>
      <w:r>
        <w:rPr>
          <w:rFonts w:hint="eastAsia" w:ascii="宋体" w:hAnsi="宋体" w:cs="Arial"/>
          <w:shd w:val="clear" w:color="auto" w:fill="FFFFFF"/>
        </w:rPr>
        <w:t>。</w:t>
      </w:r>
    </w:p>
    <w:p>
      <w:pPr>
        <w:pStyle w:val="3"/>
        <w:spacing w:beforeLines="50" w:afterLines="50" w:line="360" w:lineRule="auto"/>
        <w:ind w:left="0" w:firstLine="0"/>
        <w:rPr>
          <w:rFonts w:hint="eastAsia" w:ascii="宋体" w:hAnsi="宋体" w:eastAsia="宋体"/>
          <w:sz w:val="24"/>
          <w:szCs w:val="24"/>
        </w:rPr>
      </w:pPr>
      <w:bookmarkStart w:id="5" w:name="_Toc654850275"/>
      <w:r>
        <w:rPr>
          <w:rFonts w:hint="default" w:ascii="宋体" w:hAnsi="宋体" w:eastAsia="宋体"/>
          <w:sz w:val="24"/>
          <w:szCs w:val="24"/>
        </w:rPr>
        <w:t>系统使用说明</w:t>
      </w:r>
      <w:bookmarkEnd w:id="5"/>
    </w:p>
    <w:p>
      <w:pPr>
        <w:pStyle w:val="2"/>
        <w:rPr>
          <w:rFonts w:hint="default" w:ascii="宋体" w:hAnsi="宋体" w:cs="Arial"/>
          <w:shd w:val="clear" w:color="auto" w:fill="FFFFFF"/>
          <w:lang w:eastAsia="zh-Hans"/>
        </w:rPr>
      </w:pPr>
      <w:r>
        <w:rPr>
          <w:rFonts w:hint="eastAsia" w:ascii="宋体" w:hAnsi="宋体" w:cs="Arial"/>
          <w:shd w:val="clear" w:color="auto" w:fill="FFFFFF"/>
          <w:lang w:val="en-US" w:eastAsia="zh-Hans"/>
        </w:rPr>
        <w:t>考生报名</w:t>
      </w:r>
      <w:r>
        <w:rPr>
          <w:rFonts w:hint="default" w:ascii="宋体" w:hAnsi="宋体" w:cs="Arial"/>
          <w:shd w:val="clear" w:color="auto" w:fill="FFFFFF"/>
          <w:lang w:eastAsia="zh-Hans"/>
        </w:rPr>
        <w:t>：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考生可通过本系统填写个人信息并提交身份证正反面</w:t>
      </w:r>
      <w:r>
        <w:rPr>
          <w:rFonts w:hint="default" w:ascii="宋体" w:hAnsi="宋体" w:cs="Arial"/>
          <w:shd w:val="clear" w:color="auto" w:fill="FFFFFF"/>
          <w:lang w:eastAsia="zh-Hans"/>
        </w:rPr>
        <w:t>、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户口簿户主页</w:t>
      </w:r>
      <w:r>
        <w:rPr>
          <w:rFonts w:hint="default" w:ascii="宋体" w:hAnsi="宋体" w:cs="Arial"/>
          <w:shd w:val="clear" w:color="auto" w:fill="FFFFFF"/>
          <w:lang w:eastAsia="zh-Hans"/>
        </w:rPr>
        <w:t>、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户口簿本人页</w:t>
      </w:r>
      <w:r>
        <w:rPr>
          <w:rFonts w:hint="default" w:ascii="宋体" w:hAnsi="宋体" w:cs="Arial"/>
          <w:shd w:val="clear" w:color="auto" w:fill="FFFFFF"/>
          <w:lang w:eastAsia="zh-Hans"/>
        </w:rPr>
        <w:t>、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毕业证书</w:t>
      </w:r>
      <w:r>
        <w:rPr>
          <w:rFonts w:hint="default" w:ascii="宋体" w:hAnsi="宋体" w:cs="Arial"/>
          <w:shd w:val="clear" w:color="auto" w:fill="FFFFFF"/>
          <w:lang w:eastAsia="zh-Hans"/>
        </w:rPr>
        <w:t>（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学生证</w:t>
      </w:r>
      <w:r>
        <w:rPr>
          <w:rFonts w:hint="default" w:ascii="宋体" w:hAnsi="宋体" w:cs="Arial"/>
          <w:shd w:val="clear" w:color="auto" w:fill="FFFFFF"/>
          <w:lang w:eastAsia="zh-Hans"/>
        </w:rPr>
        <w:t>）、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学位证以及其他相关证名</w:t>
      </w:r>
      <w:r>
        <w:rPr>
          <w:rFonts w:hint="default" w:ascii="宋体" w:hAnsi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进行在线报名</w:t>
      </w:r>
      <w:r>
        <w:rPr>
          <w:rFonts w:hint="default" w:ascii="宋体" w:hAnsi="宋体" w:cs="Arial"/>
          <w:shd w:val="clear" w:color="auto" w:fill="FFFFFF"/>
          <w:lang w:eastAsia="zh-Hans"/>
        </w:rPr>
        <w:t>。</w:t>
      </w:r>
    </w:p>
    <w:p>
      <w:pPr>
        <w:pStyle w:val="2"/>
        <w:rPr>
          <w:rFonts w:hint="eastAsia" w:ascii="宋体" w:hAnsi="宋体" w:cs="Arial"/>
          <w:shd w:val="clear" w:color="auto" w:fill="FFFFFF"/>
          <w:lang w:val="en-US" w:eastAsia="zh-Hans"/>
        </w:rPr>
      </w:pPr>
      <w:r>
        <w:rPr>
          <w:rFonts w:hint="eastAsia" w:ascii="宋体" w:hAnsi="宋体" w:cs="Arial"/>
          <w:shd w:val="clear" w:color="auto" w:fill="FFFFFF"/>
          <w:lang w:val="en-US" w:eastAsia="zh-Hans"/>
        </w:rPr>
        <w:t>下载登记表</w:t>
      </w:r>
      <w:r>
        <w:rPr>
          <w:rFonts w:hint="default" w:ascii="宋体" w:hAnsi="宋体" w:cs="Arial"/>
          <w:shd w:val="clear" w:color="auto" w:fill="FFFFFF"/>
          <w:lang w:eastAsia="zh-Hans"/>
        </w:rPr>
        <w:t>：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考生报名审核通过后</w:t>
      </w:r>
      <w:r>
        <w:rPr>
          <w:rFonts w:hint="default" w:ascii="宋体" w:hAnsi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可通过本系统下载</w:t>
      </w:r>
      <w:r>
        <w:rPr>
          <w:rFonts w:hint="default" w:ascii="宋体" w:hAnsi="宋体" w:cs="Arial"/>
          <w:shd w:val="clear" w:color="auto" w:fill="FFFFFF"/>
          <w:lang w:eastAsia="zh-Hans"/>
        </w:rPr>
        <w:t>【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少数民族高层次骨干人才计划考生登记表</w:t>
      </w:r>
      <w:r>
        <w:rPr>
          <w:rFonts w:hint="default" w:ascii="宋体" w:hAnsi="宋体" w:cs="Arial"/>
          <w:shd w:val="clear" w:color="auto" w:fill="FFFFFF"/>
          <w:lang w:eastAsia="zh-Hans"/>
        </w:rPr>
        <w:t>】</w:t>
      </w:r>
    </w:p>
    <w:p>
      <w:pPr>
        <w:pStyle w:val="2"/>
        <w:rPr>
          <w:rFonts w:hint="eastAsia" w:ascii="宋体" w:hAnsi="宋体" w:cs="Arial"/>
          <w:shd w:val="clear" w:color="auto" w:fill="FFFFFF"/>
          <w:lang w:val="en-US" w:eastAsia="zh-Hans"/>
        </w:rPr>
      </w:pPr>
      <w:r>
        <w:rPr>
          <w:rFonts w:hint="eastAsia" w:ascii="宋体" w:hAnsi="宋体" w:cs="Arial"/>
          <w:shd w:val="clear" w:color="auto" w:fill="FFFFFF"/>
          <w:lang w:val="en-US" w:eastAsia="zh-Hans"/>
        </w:rPr>
        <w:t>获取校验码</w:t>
      </w:r>
      <w:r>
        <w:rPr>
          <w:rFonts w:hint="default" w:ascii="宋体" w:hAnsi="宋体" w:cs="Arial"/>
          <w:shd w:val="clear" w:color="auto" w:fill="FFFFFF"/>
          <w:lang w:eastAsia="zh-Hans"/>
        </w:rPr>
        <w:t>：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考生报名审核通过后</w:t>
      </w:r>
      <w:r>
        <w:rPr>
          <w:rFonts w:hint="default" w:ascii="宋体" w:hAnsi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再省级管理员下发校验码后</w:t>
      </w:r>
      <w:r>
        <w:rPr>
          <w:rFonts w:hint="default" w:ascii="宋体" w:hAnsi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可通过本系统获取校验码</w:t>
      </w:r>
      <w:r>
        <w:rPr>
          <w:rFonts w:hint="default" w:ascii="宋体" w:hAnsi="宋体" w:cs="Arial"/>
          <w:shd w:val="clear" w:color="auto" w:fill="FFFFFF"/>
          <w:lang w:eastAsia="zh-Hans"/>
        </w:rPr>
        <w:t>。</w:t>
      </w:r>
      <w:bookmarkEnd w:id="0"/>
      <w:bookmarkEnd w:id="1"/>
    </w:p>
    <w:p>
      <w:pPr>
        <w:pStyle w:val="3"/>
        <w:spacing w:beforeLines="50" w:afterLines="50" w:line="360" w:lineRule="auto"/>
        <w:ind w:left="0" w:firstLine="0"/>
        <w:rPr>
          <w:rFonts w:ascii="宋体" w:hAnsi="宋体"/>
          <w:sz w:val="24"/>
          <w:szCs w:val="24"/>
        </w:rPr>
      </w:pPr>
      <w:bookmarkStart w:id="6" w:name="_Toc214881050"/>
      <w:r>
        <w:rPr>
          <w:rFonts w:ascii="宋体" w:hAnsi="宋体"/>
          <w:sz w:val="24"/>
          <w:szCs w:val="24"/>
        </w:rPr>
        <w:t>操作说明</w:t>
      </w:r>
      <w:bookmarkEnd w:id="6"/>
    </w:p>
    <w:p>
      <w:pPr>
        <w:pStyle w:val="4"/>
        <w:spacing w:before="163" w:beforeLines="50" w:after="163" w:afterLines="50" w:line="360" w:lineRule="auto"/>
        <w:ind w:left="578" w:hanging="578"/>
        <w:rPr>
          <w:rFonts w:hint="eastAsia" w:ascii="宋体" w:hAnsi="宋体" w:eastAsia="宋体"/>
          <w:sz w:val="24"/>
          <w:szCs w:val="28"/>
        </w:rPr>
      </w:pPr>
      <w:bookmarkStart w:id="7" w:name="_Toc1585796743"/>
      <w:r>
        <w:rPr>
          <w:rFonts w:hint="eastAsia" w:ascii="宋体" w:hAnsi="宋体" w:eastAsia="宋体"/>
          <w:sz w:val="24"/>
          <w:szCs w:val="28"/>
          <w:lang w:val="en-US" w:eastAsia="zh-Hans"/>
        </w:rPr>
        <w:t>注册登录</w:t>
      </w:r>
      <w:bookmarkEnd w:id="7"/>
    </w:p>
    <w:p>
      <w:pPr>
        <w:pStyle w:val="2"/>
        <w:rPr>
          <w:rFonts w:hint="default" w:ascii="宋体" w:hAnsi="宋体" w:eastAsia="宋体" w:cs="Arial"/>
          <w:shd w:val="clear" w:color="auto" w:fill="FFFFFF"/>
          <w:lang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打开贵州政务服务网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：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fldChar w:fldCharType="begin"/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instrText xml:space="preserve"> HYPERLINK "http://zwfw.guizhou.gov.cn/index.html" </w:instrTex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fldChar w:fldCharType="separate"/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http://zwfw.guizhou.gov.cn/index.html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fldChar w:fldCharType="end"/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选择位置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3675" cy="2986405"/>
            <wp:effectExtent l="0" t="0" r="9525" b="1079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86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宋体" w:hAnsi="宋体" w:eastAsia="宋体" w:cs="Arial"/>
          <w:shd w:val="clear" w:color="auto" w:fill="FFFFFF"/>
          <w:lang w:val="en-US"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选择贵州省教育厅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59705" cy="3134360"/>
            <wp:effectExtent l="0" t="0" r="23495" b="15240"/>
            <wp:docPr id="8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134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宋体" w:hAnsi="宋体" w:eastAsia="宋体" w:cs="Arial"/>
          <w:shd w:val="clear" w:color="auto" w:fill="FFFFFF"/>
          <w:lang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在贵州省教育厅旗舰店下方的搜索栏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输入“少数”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点击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&lt;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搜索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&gt;，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查看少数民族高层次骨干人才计划相关事项咨询办理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3675" cy="3037205"/>
            <wp:effectExtent l="0" t="0" r="9525" b="10795"/>
            <wp:docPr id="16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37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宋体" w:hAnsi="宋体" w:eastAsia="宋体" w:cs="Arial"/>
          <w:shd w:val="clear" w:color="auto" w:fill="FFFFFF"/>
          <w:lang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选择少数民族高层次骨干人才计划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（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硕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、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博士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）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在职人员报名资格审查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点击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&lt;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在线申请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&gt;。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9865" cy="3059430"/>
            <wp:effectExtent l="0" t="0" r="13335" b="13970"/>
            <wp:docPr id="17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59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宋体" w:hAnsi="宋体" w:eastAsia="宋体" w:cs="Arial"/>
          <w:shd w:val="clear" w:color="auto" w:fill="FFFFFF"/>
          <w:lang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若已经在政务服务网注册过账号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则直接点击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&lt;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登录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&gt;。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若未注册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则点击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&lt;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注册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&gt;，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发起注册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3040" cy="3025140"/>
            <wp:effectExtent l="0" t="0" r="10160" b="22860"/>
            <wp:docPr id="18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25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宋体" w:hAnsi="宋体" w:eastAsia="宋体" w:cs="Arial"/>
          <w:shd w:val="clear" w:color="auto" w:fill="FFFFFF"/>
          <w:lang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在注册页面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根据要求完成相关信息填写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进行注册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58435" cy="3033395"/>
            <wp:effectExtent l="0" t="0" r="24765" b="14605"/>
            <wp:docPr id="19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033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宋体" w:hAnsi="宋体" w:eastAsia="宋体" w:cs="Arial"/>
          <w:shd w:val="clear" w:color="auto" w:fill="FFFFFF"/>
          <w:lang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完成注册后，通过登录界面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使用注册时候的用户账号及密码进行登录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9865" cy="2773045"/>
            <wp:effectExtent l="0" t="0" r="13335" b="20955"/>
            <wp:docPr id="20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73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宋体" w:hAnsi="宋体" w:eastAsia="宋体" w:cs="Arial"/>
          <w:shd w:val="clear" w:color="auto" w:fill="FFFFFF"/>
          <w:lang w:val="en-US"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登录后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若出现以下界面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则点击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&lt;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仍然发送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&gt;。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进入报名页面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根据要求输入信息进行报名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1770" cy="1827530"/>
            <wp:effectExtent l="0" t="0" r="11430" b="1270"/>
            <wp:docPr id="21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27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ascii="宋体" w:hAnsi="宋体" w:eastAsia="宋体" w:cs="Arial"/>
          <w:shd w:val="clear" w:color="auto" w:fill="FFFFFF"/>
          <w:lang w:val="en-US" w:eastAsia="zh-Hans"/>
        </w:rPr>
      </w:pPr>
      <w:r>
        <w:drawing>
          <wp:inline distT="0" distB="0" distL="114300" distR="114300">
            <wp:extent cx="5271135" cy="2663190"/>
            <wp:effectExtent l="0" t="0" r="12065" b="3810"/>
            <wp:docPr id="22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63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63" w:beforeLines="50" w:after="163" w:afterLines="50" w:line="360" w:lineRule="auto"/>
        <w:ind w:left="578" w:hanging="578"/>
        <w:rPr>
          <w:rFonts w:hint="eastAsia" w:ascii="宋体" w:hAnsi="宋体" w:eastAsia="宋体"/>
          <w:sz w:val="24"/>
          <w:szCs w:val="28"/>
          <w:lang w:val="en-US" w:eastAsia="zh-Hans"/>
        </w:rPr>
      </w:pPr>
      <w:bookmarkStart w:id="8" w:name="_Toc66316684"/>
      <w:r>
        <w:rPr>
          <w:rFonts w:hint="eastAsia" w:ascii="宋体" w:hAnsi="宋体" w:eastAsia="宋体"/>
          <w:sz w:val="24"/>
          <w:szCs w:val="28"/>
          <w:lang w:val="en-US" w:eastAsia="zh-Hans"/>
        </w:rPr>
        <w:t>考生报名</w:t>
      </w:r>
      <w:bookmarkEnd w:id="8"/>
    </w:p>
    <w:p>
      <w:pPr>
        <w:pStyle w:val="2"/>
        <w:rPr>
          <w:rFonts w:hint="default" w:ascii="宋体" w:hAnsi="宋体" w:eastAsia="宋体" w:cs="Arial"/>
          <w:shd w:val="clear" w:color="auto" w:fill="FFFFFF"/>
          <w:lang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报名用户可通过报名界面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填写相关考生信息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。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填写完成后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可点击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&lt;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提交审核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&gt;，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完成在线报名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。</w:t>
      </w:r>
    </w:p>
    <w:p>
      <w:pPr>
        <w:pStyle w:val="2"/>
        <w:ind w:left="0" w:leftChars="0" w:firstLine="0" w:firstLineChars="0"/>
        <w:rPr>
          <w:rFonts w:hint="default" w:ascii="宋体" w:hAnsi="宋体" w:eastAsia="宋体" w:cs="Arial"/>
          <w:shd w:val="clear" w:color="auto" w:fill="FFFFFF"/>
          <w:lang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drawing>
          <wp:inline distT="0" distB="0" distL="114300" distR="114300">
            <wp:extent cx="5267325" cy="2774950"/>
            <wp:effectExtent l="0" t="0" r="15875" b="19050"/>
            <wp:docPr id="11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 w:ascii="宋体" w:hAnsi="宋体" w:eastAsia="宋体" w:cs="Arial"/>
          <w:shd w:val="clear" w:color="auto" w:fill="FFFFFF"/>
          <w:lang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drawing>
          <wp:inline distT="0" distB="0" distL="114300" distR="114300">
            <wp:extent cx="5270500" cy="3279140"/>
            <wp:effectExtent l="0" t="0" r="12700" b="22860"/>
            <wp:docPr id="9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9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宋体" w:hAnsi="宋体" w:eastAsia="宋体" w:cs="Arial"/>
          <w:shd w:val="clear" w:color="auto" w:fill="FFFFFF"/>
          <w:lang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若还需校验录入的信息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可点击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&lt;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保存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&gt;,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再通过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【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我的报名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】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入口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对报名的信息进行修改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。</w:t>
      </w:r>
    </w:p>
    <w:p>
      <w:pPr>
        <w:pStyle w:val="2"/>
        <w:ind w:left="0" w:leftChars="0" w:firstLine="0" w:firstLineChars="0"/>
        <w:rPr>
          <w:rFonts w:hint="default" w:ascii="宋体" w:hAnsi="宋体" w:eastAsia="宋体" w:cs="Arial"/>
          <w:shd w:val="clear" w:color="auto" w:fill="FFFFFF"/>
          <w:lang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drawing>
          <wp:inline distT="0" distB="0" distL="114300" distR="114300">
            <wp:extent cx="5267960" cy="1376045"/>
            <wp:effectExtent l="0" t="0" r="15240" b="20955"/>
            <wp:docPr id="12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76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ascii="宋体" w:hAnsi="宋体" w:eastAsia="宋体" w:cs="Arial"/>
          <w:shd w:val="clear" w:color="auto" w:fill="FFFFFF"/>
          <w:lang w:val="en-US"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drawing>
          <wp:inline distT="0" distB="0" distL="114300" distR="114300">
            <wp:extent cx="5266690" cy="1055370"/>
            <wp:effectExtent l="0" t="0" r="16510" b="11430"/>
            <wp:docPr id="13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55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宋体" w:hAnsi="宋体" w:eastAsia="宋体" w:cs="Arial"/>
          <w:shd w:val="clear" w:color="auto" w:fill="FFFFFF"/>
          <w:lang w:val="en-US"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编辑完成后，点击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&lt;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提交审核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&gt;，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完成报名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。</w:t>
      </w:r>
    </w:p>
    <w:p>
      <w:pPr>
        <w:pStyle w:val="4"/>
        <w:spacing w:before="163" w:beforeLines="50" w:after="163" w:afterLines="50" w:line="360" w:lineRule="auto"/>
        <w:ind w:left="578" w:hanging="578"/>
        <w:rPr>
          <w:rFonts w:hint="eastAsia" w:ascii="宋体" w:hAnsi="宋体" w:eastAsia="宋体"/>
          <w:sz w:val="24"/>
          <w:szCs w:val="28"/>
          <w:lang w:val="en-US" w:eastAsia="zh-Hans"/>
        </w:rPr>
      </w:pPr>
      <w:bookmarkStart w:id="9" w:name="_Toc40495195"/>
      <w:r>
        <w:rPr>
          <w:rFonts w:hint="eastAsia" w:ascii="宋体" w:hAnsi="宋体" w:eastAsia="宋体"/>
          <w:sz w:val="24"/>
          <w:szCs w:val="28"/>
          <w:lang w:val="en-US" w:eastAsia="zh-Hans"/>
        </w:rPr>
        <w:t>下载考生登记表及获取校验码</w:t>
      </w:r>
      <w:bookmarkEnd w:id="9"/>
    </w:p>
    <w:p>
      <w:pPr>
        <w:pStyle w:val="2"/>
        <w:rPr>
          <w:rFonts w:hint="eastAsia" w:ascii="宋体" w:hAnsi="宋体" w:eastAsia="宋体" w:cs="Arial"/>
          <w:shd w:val="clear" w:color="auto" w:fill="FFFFFF"/>
          <w:lang w:val="en-US"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考生提交审核后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可通过点击首页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&lt;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查看报名结果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&gt;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按钮或通过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【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我的报名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】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界面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查看报名结果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。</w:t>
      </w:r>
    </w:p>
    <w:p>
      <w:pPr>
        <w:pStyle w:val="2"/>
        <w:ind w:left="0" w:leftChars="0" w:firstLine="0" w:firstLineChars="0"/>
        <w:rPr>
          <w:rFonts w:hint="eastAsia" w:ascii="宋体" w:hAnsi="宋体" w:eastAsia="宋体" w:cs="Arial"/>
          <w:shd w:val="clear" w:color="auto" w:fill="FFFFFF"/>
          <w:lang w:val="en-US"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drawing>
          <wp:inline distT="0" distB="0" distL="114300" distR="114300">
            <wp:extent cx="5270500" cy="2314575"/>
            <wp:effectExtent l="0" t="0" r="12700" b="22225"/>
            <wp:docPr id="14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宋体" w:hAnsi="宋体" w:eastAsia="宋体" w:cs="Arial"/>
          <w:shd w:val="clear" w:color="auto" w:fill="FFFFFF"/>
          <w:lang w:val="en-US"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审核通过的考生可通过点击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&lt;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下载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&gt;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按钮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获取考生登记表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。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另外等待省级管理员发放校验码后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考生可获取校验码。</w:t>
      </w:r>
    </w:p>
    <w:p>
      <w:pPr>
        <w:pStyle w:val="2"/>
        <w:ind w:left="0" w:leftChars="0" w:firstLine="0" w:firstLineChars="0"/>
        <w:rPr>
          <w:rFonts w:hint="eastAsia" w:ascii="宋体" w:hAnsi="宋体" w:eastAsia="宋体" w:cs="Arial"/>
          <w:shd w:val="clear" w:color="auto" w:fill="FFFFFF"/>
          <w:lang w:val="en-US"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drawing>
          <wp:inline distT="0" distB="0" distL="114300" distR="114300">
            <wp:extent cx="5273040" cy="1324610"/>
            <wp:effectExtent l="0" t="0" r="10160" b="21590"/>
            <wp:docPr id="15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24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宋体" w:hAnsi="宋体" w:eastAsia="宋体" w:cs="Arial"/>
          <w:shd w:val="clear" w:color="auto" w:fill="FFFFFF"/>
          <w:lang w:val="en-US"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审核未通过的考生可根据上述步骤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进行重新报名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。</w:t>
      </w:r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DejaVu Sans">
    <w:panose1 w:val="020B0603030804020204"/>
    <w:charset w:val="00"/>
    <w:family w:val="roman"/>
    <w:pitch w:val="default"/>
    <w:sig w:usb0="E7006EFF" w:usb1="D200FDFF" w:usb2="0A246029" w:usb3="0400200C" w:csb0="600001FF" w:csb1="DFFF0000"/>
  </w:font>
  <w:font w:name="宋体-简">
    <w:altName w:val="方正书宋_GBK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oto Sans CJK JP Bold">
    <w:panose1 w:val="020B0800000000000000"/>
    <w:charset w:val="86"/>
    <w:family w:val="auto"/>
    <w:pitch w:val="default"/>
    <w:sig w:usb0="30000003" w:usb1="2BDF3C10" w:usb2="00000016" w:usb3="00000000" w:csb0="602E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fals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BYAAABkcnMv&#10;UEsBAhQAFAAAAAgAh07iQM6pebnPAAAABQEAAA8AAAAAAAAAAQAgAAAAOAAAAGRycy9kb3ducmV2&#10;LnhtbFBLAQIUABQAAAAIAIdO4kCduQvYtgEAAFUDAAAOAAAAAAAAAAEAIAAAADQBAABkcnMvZTJv&#10;RG9jLnhtbFBLBQYAAAAABgAGAFkBAABc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9E1642"/>
    <w:multiLevelType w:val="multilevel"/>
    <w:tmpl w:val="0D9E1642"/>
    <w:lvl w:ilvl="0" w:tentative="0">
      <w:start w:val="1"/>
      <w:numFmt w:val="chineseCountingThousand"/>
      <w:pStyle w:val="3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isLgl/>
      <w:lvlText w:val="%1.%2"/>
      <w:lvlJc w:val="left"/>
      <w:pPr>
        <w:ind w:left="576" w:hanging="576"/>
      </w:pPr>
      <w:rPr>
        <w:rFonts w:hint="eastAsia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"/>
      <w:lvlJc w:val="left"/>
      <w:pPr>
        <w:ind w:left="864" w:hanging="864"/>
      </w:pPr>
      <w:rPr>
        <w:rFonts w:hint="eastAsia"/>
        <w:b/>
      </w:rPr>
    </w:lvl>
    <w:lvl w:ilvl="4" w:tentative="0">
      <w:start w:val="1"/>
      <w:numFmt w:val="decimal"/>
      <w:isLgl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">
    <w:nsid w:val="5F0801F8"/>
    <w:multiLevelType w:val="multilevel"/>
    <w:tmpl w:val="5F0801F8"/>
    <w:lvl w:ilvl="0" w:tentative="0">
      <w:start w:val="1"/>
      <w:numFmt w:val="decimal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576" w:hanging="576"/>
      </w:pPr>
      <w:rPr>
        <w:rFonts w:ascii="宋体" w:hAnsi="宋体" w:eastAsia="宋体"/>
      </w:rPr>
    </w:lvl>
    <w:lvl w:ilvl="2" w:tentative="0">
      <w:start w:val="1"/>
      <w:numFmt w:val="decimal"/>
      <w:pStyle w:val="5"/>
      <w:lvlText w:val="%1.%2.%3"/>
      <w:lvlJc w:val="left"/>
      <w:pPr>
        <w:ind w:left="720" w:hanging="720"/>
      </w:pPr>
      <w:rPr>
        <w:rFonts w:ascii="宋体" w:hAnsi="宋体" w:eastAsia="宋体"/>
      </w:rPr>
    </w:lvl>
    <w:lvl w:ilvl="3" w:tentative="0">
      <w:start w:val="1"/>
      <w:numFmt w:val="decimal"/>
      <w:pStyle w:val="6"/>
      <w:lvlText w:val="%1.%2.%3.%4"/>
      <w:lvlJc w:val="left"/>
      <w:pPr>
        <w:ind w:left="864" w:hanging="864"/>
      </w:pPr>
      <w:rPr>
        <w:sz w:val="24"/>
        <w:szCs w:val="24"/>
      </w:rPr>
    </w:lvl>
    <w:lvl w:ilvl="4" w:tentative="0">
      <w:start w:val="1"/>
      <w:numFmt w:val="decimal"/>
      <w:lvlText w:val="%1.%2.%3.%4.%5"/>
      <w:lvlJc w:val="left"/>
      <w:pPr>
        <w:ind w:left="1008" w:hanging="1008"/>
      </w:pPr>
      <w:rPr>
        <w:rFonts w:hint="default" w:ascii="Calibri" w:hAnsi="Calibri"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B8FB99"/>
    <w:rsid w:val="00032E84"/>
    <w:rsid w:val="00040267"/>
    <w:rsid w:val="000D6292"/>
    <w:rsid w:val="00223D7F"/>
    <w:rsid w:val="00237040"/>
    <w:rsid w:val="002520F7"/>
    <w:rsid w:val="002675E6"/>
    <w:rsid w:val="002776F1"/>
    <w:rsid w:val="002D3BF7"/>
    <w:rsid w:val="00306FF4"/>
    <w:rsid w:val="0039572B"/>
    <w:rsid w:val="003F55BC"/>
    <w:rsid w:val="00426E30"/>
    <w:rsid w:val="004C3785"/>
    <w:rsid w:val="004C726D"/>
    <w:rsid w:val="004E5F57"/>
    <w:rsid w:val="00524FA4"/>
    <w:rsid w:val="00610451"/>
    <w:rsid w:val="00640DE8"/>
    <w:rsid w:val="007631A1"/>
    <w:rsid w:val="007E098D"/>
    <w:rsid w:val="00837E37"/>
    <w:rsid w:val="008D6A56"/>
    <w:rsid w:val="00992FF3"/>
    <w:rsid w:val="009A0F7F"/>
    <w:rsid w:val="00A1173A"/>
    <w:rsid w:val="00A21D42"/>
    <w:rsid w:val="00B60128"/>
    <w:rsid w:val="00B674CE"/>
    <w:rsid w:val="00C72FBB"/>
    <w:rsid w:val="00C852D3"/>
    <w:rsid w:val="00D71060"/>
    <w:rsid w:val="00E1407B"/>
    <w:rsid w:val="00EA763B"/>
    <w:rsid w:val="00EB12EB"/>
    <w:rsid w:val="00EE25A8"/>
    <w:rsid w:val="00EE605D"/>
    <w:rsid w:val="00FA4FA8"/>
    <w:rsid w:val="054F225F"/>
    <w:rsid w:val="06336648"/>
    <w:rsid w:val="0ABA2879"/>
    <w:rsid w:val="0D7F3CAF"/>
    <w:rsid w:val="0DC51A10"/>
    <w:rsid w:val="0FBF8D2B"/>
    <w:rsid w:val="166C7BA1"/>
    <w:rsid w:val="1A9E4D0C"/>
    <w:rsid w:val="1DE29CA5"/>
    <w:rsid w:val="23FF6EAD"/>
    <w:rsid w:val="245D4E28"/>
    <w:rsid w:val="25B0588F"/>
    <w:rsid w:val="2E57666B"/>
    <w:rsid w:val="2EFC12E7"/>
    <w:rsid w:val="2F7E4399"/>
    <w:rsid w:val="3779ADDB"/>
    <w:rsid w:val="39603DD5"/>
    <w:rsid w:val="3B540FFD"/>
    <w:rsid w:val="3D7F74F0"/>
    <w:rsid w:val="3DAF1591"/>
    <w:rsid w:val="3E7BE623"/>
    <w:rsid w:val="3FF26220"/>
    <w:rsid w:val="46F01492"/>
    <w:rsid w:val="4773F58E"/>
    <w:rsid w:val="47FD796D"/>
    <w:rsid w:val="49F75627"/>
    <w:rsid w:val="4FF723DC"/>
    <w:rsid w:val="57F9B640"/>
    <w:rsid w:val="5B5F9682"/>
    <w:rsid w:val="5BCDB755"/>
    <w:rsid w:val="5BFFA824"/>
    <w:rsid w:val="5E5F7ED3"/>
    <w:rsid w:val="5F9F227C"/>
    <w:rsid w:val="5FBFE642"/>
    <w:rsid w:val="5FFFBC45"/>
    <w:rsid w:val="66F5DDDA"/>
    <w:rsid w:val="6AFF3B36"/>
    <w:rsid w:val="6BFF4AE1"/>
    <w:rsid w:val="6C8F7B5A"/>
    <w:rsid w:val="6D7F164E"/>
    <w:rsid w:val="6F77CCFE"/>
    <w:rsid w:val="6FB31CE6"/>
    <w:rsid w:val="6FDDBDF0"/>
    <w:rsid w:val="72DED397"/>
    <w:rsid w:val="7300639F"/>
    <w:rsid w:val="73EB91C2"/>
    <w:rsid w:val="73FB1679"/>
    <w:rsid w:val="74FB62AB"/>
    <w:rsid w:val="76B03AD7"/>
    <w:rsid w:val="76FFB1BB"/>
    <w:rsid w:val="777FDCE4"/>
    <w:rsid w:val="77974C3D"/>
    <w:rsid w:val="77B8FB99"/>
    <w:rsid w:val="786FA4EA"/>
    <w:rsid w:val="79675622"/>
    <w:rsid w:val="79DFC946"/>
    <w:rsid w:val="7B0EC9DF"/>
    <w:rsid w:val="7B8D4FFC"/>
    <w:rsid w:val="7BF83A33"/>
    <w:rsid w:val="7BFF468F"/>
    <w:rsid w:val="7CADBB4F"/>
    <w:rsid w:val="7D625E04"/>
    <w:rsid w:val="7DD66F3A"/>
    <w:rsid w:val="7DEB44A2"/>
    <w:rsid w:val="7DED7786"/>
    <w:rsid w:val="7DEDF230"/>
    <w:rsid w:val="7DFBD928"/>
    <w:rsid w:val="7E3FDA75"/>
    <w:rsid w:val="7EAA0CA1"/>
    <w:rsid w:val="7F7D35D9"/>
    <w:rsid w:val="7FDBDF8C"/>
    <w:rsid w:val="7FDF1882"/>
    <w:rsid w:val="7FE5FE81"/>
    <w:rsid w:val="7FF7547F"/>
    <w:rsid w:val="7FF768E8"/>
    <w:rsid w:val="7FFD1CAE"/>
    <w:rsid w:val="7FFE57DD"/>
    <w:rsid w:val="7FFE6259"/>
    <w:rsid w:val="856F2282"/>
    <w:rsid w:val="9B6346DA"/>
    <w:rsid w:val="9FF950B1"/>
    <w:rsid w:val="ABFBB8C5"/>
    <w:rsid w:val="AEB4A78B"/>
    <w:rsid w:val="B9EA6A48"/>
    <w:rsid w:val="BA6738B0"/>
    <w:rsid w:val="BB3DEA9C"/>
    <w:rsid w:val="BB7778F7"/>
    <w:rsid w:val="BCFF6C9D"/>
    <w:rsid w:val="BDFF3749"/>
    <w:rsid w:val="BFB51D68"/>
    <w:rsid w:val="BFBEF6E6"/>
    <w:rsid w:val="BFD9F5FD"/>
    <w:rsid w:val="BFEF7479"/>
    <w:rsid w:val="BFF6999F"/>
    <w:rsid w:val="BFF71938"/>
    <w:rsid w:val="CEBC4F0B"/>
    <w:rsid w:val="CF0F7D72"/>
    <w:rsid w:val="CFBC59B6"/>
    <w:rsid w:val="CFBDFC11"/>
    <w:rsid w:val="D9BF4DC5"/>
    <w:rsid w:val="DAD77ABC"/>
    <w:rsid w:val="DCFD11BA"/>
    <w:rsid w:val="DE7D69E3"/>
    <w:rsid w:val="DF5FAA80"/>
    <w:rsid w:val="DFEE7674"/>
    <w:rsid w:val="DFF74EBD"/>
    <w:rsid w:val="DFFB363C"/>
    <w:rsid w:val="DFFDF010"/>
    <w:rsid w:val="DFFF58A9"/>
    <w:rsid w:val="E1DF5879"/>
    <w:rsid w:val="E1FE4E87"/>
    <w:rsid w:val="E77FB05A"/>
    <w:rsid w:val="E7B18944"/>
    <w:rsid w:val="EADF308E"/>
    <w:rsid w:val="EB779F80"/>
    <w:rsid w:val="EBD71643"/>
    <w:rsid w:val="EDCD65AE"/>
    <w:rsid w:val="EDFFDC34"/>
    <w:rsid w:val="EEFF825E"/>
    <w:rsid w:val="EF7EB507"/>
    <w:rsid w:val="EF7F7F84"/>
    <w:rsid w:val="EF9840C6"/>
    <w:rsid w:val="EFB52BC5"/>
    <w:rsid w:val="EFFA2FB7"/>
    <w:rsid w:val="EFFE4CDF"/>
    <w:rsid w:val="F2CA68DA"/>
    <w:rsid w:val="F3FD0581"/>
    <w:rsid w:val="F3FFB6DF"/>
    <w:rsid w:val="F8EF405E"/>
    <w:rsid w:val="FAFF55E0"/>
    <w:rsid w:val="FBA30B49"/>
    <w:rsid w:val="FBB3123E"/>
    <w:rsid w:val="FBBF914F"/>
    <w:rsid w:val="FBDDD1CF"/>
    <w:rsid w:val="FC1F41B4"/>
    <w:rsid w:val="FD9F8510"/>
    <w:rsid w:val="FDAD2788"/>
    <w:rsid w:val="FDE441CC"/>
    <w:rsid w:val="FDEEB060"/>
    <w:rsid w:val="FDFFC06C"/>
    <w:rsid w:val="FE3FC44A"/>
    <w:rsid w:val="FEBF93BB"/>
    <w:rsid w:val="FEBFA7E2"/>
    <w:rsid w:val="FEFF7C79"/>
    <w:rsid w:val="FEFFD6DA"/>
    <w:rsid w:val="FF5EF4BA"/>
    <w:rsid w:val="FF61531C"/>
    <w:rsid w:val="FF726134"/>
    <w:rsid w:val="FF76D3D3"/>
    <w:rsid w:val="FFAFAF53"/>
    <w:rsid w:val="FFEA04C8"/>
    <w:rsid w:val="FFEBEBA6"/>
    <w:rsid w:val="FFEE7462"/>
    <w:rsid w:val="FFF80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jc w:val="both"/>
    </w:pPr>
    <w:rPr>
      <w:rFonts w:ascii="Calibri" w:hAnsi="Calibri" w:eastAsia="宋体" w:cs="Times New Roman"/>
      <w:kern w:val="2"/>
      <w:sz w:val="28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asciiTheme="minorHAnsi" w:hAnsiTheme="minorHAnsi" w:cstheme="minorBidi"/>
      <w:b/>
      <w:bCs/>
      <w:kern w:val="44"/>
      <w:sz w:val="44"/>
      <w:szCs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numPr>
        <w:ilvl w:val="2"/>
        <w:numId w:val="2"/>
      </w:numPr>
      <w:outlineLvl w:val="2"/>
    </w:pPr>
    <w:rPr>
      <w:b/>
      <w:bCs/>
      <w:szCs w:val="28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numPr>
        <w:ilvl w:val="3"/>
        <w:numId w:val="2"/>
      </w:numPr>
      <w:outlineLvl w:val="3"/>
    </w:pPr>
    <w:rPr>
      <w:rFonts w:ascii="Calibri Light" w:hAnsi="Calibri Light"/>
      <w:b/>
      <w:bCs/>
      <w:sz w:val="21"/>
      <w:szCs w:val="28"/>
    </w:rPr>
  </w:style>
  <w:style w:type="paragraph" w:styleId="7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7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8">
    <w:name w:val="toc 3"/>
    <w:basedOn w:val="1"/>
    <w:next w:val="1"/>
    <w:qFormat/>
    <w:uiPriority w:val="0"/>
    <w:pPr>
      <w:ind w:left="840" w:leftChars="400"/>
    </w:pPr>
  </w:style>
  <w:style w:type="paragraph" w:styleId="9">
    <w:name w:val="Balloon Text"/>
    <w:basedOn w:val="1"/>
    <w:link w:val="24"/>
    <w:qFormat/>
    <w:uiPriority w:val="0"/>
    <w:pPr>
      <w:spacing w:line="240" w:lineRule="auto"/>
    </w:pPr>
    <w:rPr>
      <w:sz w:val="18"/>
      <w:szCs w:val="18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paragraph" w:styleId="12">
    <w:name w:val="toc 1"/>
    <w:basedOn w:val="1"/>
    <w:next w:val="1"/>
    <w:qFormat/>
    <w:uiPriority w:val="0"/>
  </w:style>
  <w:style w:type="paragraph" w:styleId="13">
    <w:name w:val="toc 2"/>
    <w:basedOn w:val="1"/>
    <w:next w:val="1"/>
    <w:qFormat/>
    <w:uiPriority w:val="0"/>
    <w:pPr>
      <w:ind w:left="420" w:leftChars="200"/>
    </w:pPr>
  </w:style>
  <w:style w:type="paragraph" w:styleId="1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6">
    <w:name w:val="Table Grid"/>
    <w:basedOn w:val="15"/>
    <w:qFormat/>
    <w:uiPriority w:val="0"/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Hyperlink"/>
    <w:basedOn w:val="17"/>
    <w:qFormat/>
    <w:uiPriority w:val="0"/>
    <w:rPr>
      <w:color w:val="0000FF"/>
      <w:u w:val="single"/>
    </w:rPr>
  </w:style>
  <w:style w:type="paragraph" w:customStyle="1" w:styleId="19">
    <w:name w:val="reader-word-layer"/>
    <w:basedOn w:val="1"/>
    <w:qFormat/>
    <w:uiPriority w:val="0"/>
    <w:pPr>
      <w:widowControl/>
      <w:spacing w:before="100" w:beforeAutospacing="1" w:after="100" w:afterAutospacing="1"/>
      <w:ind w:firstLine="200" w:firstLineChars="200"/>
      <w:contextualSpacing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0">
    <w:name w:val="文章正文"/>
    <w:basedOn w:val="1"/>
    <w:qFormat/>
    <w:uiPriority w:val="0"/>
    <w:pPr>
      <w:adjustRightInd w:val="0"/>
      <w:spacing w:line="300" w:lineRule="auto"/>
      <w:ind w:firstLine="200" w:firstLineChars="200"/>
    </w:pPr>
    <w:rPr>
      <w:rFonts w:asciiTheme="minorHAnsi" w:hAnsiTheme="minorHAnsi" w:cstheme="minorBidi"/>
      <w:sz w:val="21"/>
      <w:szCs w:val="28"/>
    </w:rPr>
  </w:style>
  <w:style w:type="paragraph" w:customStyle="1" w:styleId="21">
    <w:name w:val="*正文"/>
    <w:basedOn w:val="1"/>
    <w:qFormat/>
    <w:uiPriority w:val="0"/>
    <w:pPr>
      <w:widowControl/>
      <w:ind w:firstLine="560" w:firstLineChars="200"/>
    </w:pPr>
    <w:rPr>
      <w:rFonts w:cs="宋体-简" w:asciiTheme="minorEastAsia" w:hAnsiTheme="minorEastAsia" w:eastAsiaTheme="minorEastAsia"/>
      <w:color w:val="000000"/>
      <w:kern w:val="0"/>
      <w:szCs w:val="28"/>
    </w:rPr>
  </w:style>
  <w:style w:type="paragraph" w:customStyle="1" w:styleId="22">
    <w:name w:val="列出段落1"/>
    <w:basedOn w:val="1"/>
    <w:qFormat/>
    <w:uiPriority w:val="34"/>
    <w:pPr>
      <w:ind w:firstLine="420" w:firstLineChars="200"/>
    </w:pPr>
  </w:style>
  <w:style w:type="paragraph" w:customStyle="1" w:styleId="23">
    <w:name w:val="List Paragraph1"/>
    <w:basedOn w:val="1"/>
    <w:qFormat/>
    <w:uiPriority w:val="99"/>
    <w:pPr>
      <w:ind w:firstLine="420" w:firstLineChars="200"/>
    </w:pPr>
  </w:style>
  <w:style w:type="character" w:customStyle="1" w:styleId="24">
    <w:name w:val="批注框文本 Char"/>
    <w:basedOn w:val="17"/>
    <w:link w:val="9"/>
    <w:qFormat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20</Pages>
  <Words>2892</Words>
  <Characters>2953</Characters>
  <Lines>45</Lines>
  <Paragraphs>12</Paragraphs>
  <TotalTime>2</TotalTime>
  <ScaleCrop>false</ScaleCrop>
  <LinksUpToDate>false</LinksUpToDate>
  <CharactersWithSpaces>3362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2020-07-21T02:36:00Z</dcterms:created>
  <dc:creator>zhengchao</dc:creator>
  <cp:lastModifiedBy>ysgz</cp:lastModifiedBy>
  <dcterms:modified xsi:type="dcterms:W3CDTF">2022-12-06T16:30:53Z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  <property fmtid="{D5CDD505-2E9C-101B-9397-08002B2CF9AE}" pid="3" name="ICV">
    <vt:lpwstr>0472969215324CD180FA59484FF343F2</vt:lpwstr>
  </property>
</Properties>
</file>