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snapToGrid w:val="0"/>
        <w:spacing w:line="500" w:lineRule="exact"/>
        <w:ind w:firstLine="440" w:firstLineChars="100"/>
        <w:jc w:val="both"/>
        <w:rPr>
          <w:rFonts w:hint="eastAsia" w:ascii="方正小标宋简体" w:hAnsi="方正小标宋简体" w:eastAsia="方正小标宋简体" w:cs="方正小标宋简体"/>
          <w:bCs/>
          <w:kern w:val="0"/>
          <w:sz w:val="44"/>
          <w:szCs w:val="44"/>
        </w:rPr>
      </w:pPr>
    </w:p>
    <w:p>
      <w:pPr>
        <w:snapToGrid w:val="0"/>
        <w:spacing w:line="500" w:lineRule="exact"/>
        <w:ind w:left="0" w:leftChars="0" w:firstLine="0" w:firstLineChars="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2023年</w:t>
      </w:r>
      <w:r>
        <w:rPr>
          <w:rFonts w:hint="eastAsia" w:ascii="方正小标宋简体" w:hAnsi="方正小标宋简体" w:eastAsia="方正小标宋简体" w:cs="方正小标宋简体"/>
          <w:bCs/>
          <w:kern w:val="0"/>
          <w:sz w:val="44"/>
          <w:szCs w:val="44"/>
          <w:lang w:eastAsia="zh-CN"/>
        </w:rPr>
        <w:t>全省</w:t>
      </w:r>
      <w:r>
        <w:rPr>
          <w:rFonts w:hint="eastAsia" w:ascii="方正小标宋简体" w:hAnsi="方正小标宋简体" w:eastAsia="方正小标宋简体" w:cs="方正小标宋简体"/>
          <w:bCs/>
          <w:kern w:val="0"/>
          <w:sz w:val="44"/>
          <w:szCs w:val="44"/>
        </w:rPr>
        <w:t>高校乒乓球比赛</w:t>
      </w:r>
      <w:r>
        <w:rPr>
          <w:rFonts w:hint="eastAsia" w:ascii="方正小标宋简体" w:hAnsi="方正小标宋简体" w:eastAsia="方正小标宋简体" w:cs="方正小标宋简体"/>
          <w:bCs/>
          <w:kern w:val="0"/>
          <w:sz w:val="44"/>
          <w:szCs w:val="44"/>
          <w:lang w:val="en-US" w:eastAsia="zh-CN"/>
        </w:rPr>
        <w:t>竞赛</w:t>
      </w:r>
      <w:r>
        <w:rPr>
          <w:rFonts w:hint="eastAsia" w:ascii="方正小标宋简体" w:hAnsi="方正小标宋简体" w:eastAsia="方正小标宋简体" w:cs="方正小标宋简体"/>
          <w:bCs/>
          <w:kern w:val="0"/>
          <w:sz w:val="44"/>
          <w:szCs w:val="44"/>
        </w:rPr>
        <w:t>规程</w:t>
      </w:r>
    </w:p>
    <w:p>
      <w:pPr>
        <w:snapToGrid w:val="0"/>
        <w:spacing w:line="500" w:lineRule="exact"/>
        <w:rPr>
          <w:rFonts w:hint="eastAsia" w:ascii="黑体" w:hAnsi="黑体" w:eastAsia="黑体" w:cs="黑体"/>
          <w:color w:val="000000"/>
          <w:sz w:val="32"/>
          <w:szCs w:val="32"/>
          <w:lang w:val="en-US" w:eastAsia="zh-CN"/>
        </w:rPr>
      </w:pPr>
      <w:r>
        <w:rPr>
          <w:rFonts w:hint="eastAsia" w:ascii="仿宋_GB2312" w:hAnsi="Arial" w:eastAsia="仿宋_GB2312" w:cs="Arial"/>
          <w:b/>
          <w:kern w:val="0"/>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主办单位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省教育厅</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承办单位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贵州师范学院</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协办单位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省乒乓球协会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省学生体育协会</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赞助支持</w:t>
      </w:r>
      <w:r>
        <w:rPr>
          <w:rFonts w:hint="eastAsia" w:ascii="黑体" w:hAnsi="黑体" w:eastAsia="黑体" w:cs="Times New Roman"/>
          <w:sz w:val="32"/>
          <w:szCs w:val="32"/>
        </w:rPr>
        <w:t>单位</w:t>
      </w:r>
    </w:p>
    <w:p>
      <w:pPr>
        <w:pStyle w:val="3"/>
        <w:keepNext w:val="0"/>
        <w:keepLines w:val="0"/>
        <w:pageBreakBefore w:val="0"/>
        <w:widowControl w:val="0"/>
        <w:numPr>
          <w:ilvl w:val="0"/>
          <w:numId w:val="0"/>
        </w:numPr>
        <w:kinsoku/>
        <w:wordWrap/>
        <w:overflowPunct/>
        <w:topLinePunct w:val="0"/>
        <w:autoSpaceDE/>
        <w:autoSpaceDN/>
        <w:bidi w:val="0"/>
        <w:adjustRightInd/>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河北银河体育用品有限公司</w:t>
      </w:r>
    </w:p>
    <w:p>
      <w:pPr>
        <w:pStyle w:val="3"/>
        <w:keepNext w:val="0"/>
        <w:keepLines w:val="0"/>
        <w:pageBreakBefore w:val="0"/>
        <w:widowControl w:val="0"/>
        <w:numPr>
          <w:ilvl w:val="0"/>
          <w:numId w:val="0"/>
        </w:numPr>
        <w:kinsoku/>
        <w:wordWrap/>
        <w:overflowPunct/>
        <w:topLinePunct w:val="0"/>
        <w:autoSpaceDE/>
        <w:autoSpaceDN/>
        <w:bidi w:val="0"/>
        <w:adjustRightInd/>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、竞赛日期及地点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（一）时间：2023年12月25日至30日（其中25日中午12：00前报到，14：00至18：00召开赛前联席会、适应场地、资格审查，26日至29日比赛，30日中午12点前离会）。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（二）地点：贵州师范学院体育馆。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 w:hAnsi="仿宋" w:eastAsia="仿宋" w:cs="仿宋"/>
          <w:kern w:val="2"/>
          <w:sz w:val="32"/>
          <w:szCs w:val="32"/>
          <w:lang w:val="en-US" w:eastAsia="zh-CN" w:bidi="ar-SA"/>
        </w:rPr>
        <w:t>（三）1</w:t>
      </w:r>
      <w:r>
        <w:rPr>
          <w:rFonts w:hint="default" w:ascii="仿宋" w:hAnsi="仿宋" w:eastAsia="仿宋" w:cs="仿宋"/>
          <w:sz w:val="32"/>
          <w:szCs w:val="32"/>
          <w:lang w:val="en-US" w:eastAsia="zh-Hans"/>
        </w:rPr>
        <w:t>2023</w:t>
      </w:r>
      <w:r>
        <w:rPr>
          <w:rFonts w:hint="eastAsia" w:ascii="仿宋" w:hAnsi="仿宋" w:eastAsia="仿宋" w:cs="仿宋"/>
          <w:sz w:val="32"/>
          <w:szCs w:val="32"/>
          <w:lang w:val="en-US" w:eastAsia="zh-Hans"/>
        </w:rPr>
        <w:t>年</w:t>
      </w:r>
      <w:r>
        <w:rPr>
          <w:rFonts w:hint="default" w:ascii="仿宋" w:hAnsi="仿宋" w:eastAsia="仿宋" w:cs="仿宋"/>
          <w:sz w:val="32"/>
          <w:szCs w:val="32"/>
          <w:lang w:val="en-US" w:eastAsia="zh-Hans"/>
        </w:rPr>
        <w:t>12</w:t>
      </w:r>
      <w:r>
        <w:rPr>
          <w:rFonts w:hint="eastAsia" w:ascii="仿宋" w:hAnsi="仿宋" w:eastAsia="仿宋" w:cs="仿宋"/>
          <w:sz w:val="32"/>
          <w:szCs w:val="32"/>
          <w:lang w:val="en-US" w:eastAsia="zh-Hans"/>
        </w:rPr>
        <w:t>月</w:t>
      </w:r>
      <w:r>
        <w:rPr>
          <w:rFonts w:hint="eastAsia" w:ascii="仿宋" w:hAnsi="仿宋" w:eastAsia="仿宋" w:cs="仿宋"/>
          <w:sz w:val="32"/>
          <w:szCs w:val="32"/>
          <w:lang w:val="en-US" w:eastAsia="zh-CN"/>
        </w:rPr>
        <w:t>20</w:t>
      </w:r>
      <w:r>
        <w:rPr>
          <w:rFonts w:hint="eastAsia" w:ascii="仿宋" w:hAnsi="仿宋" w:eastAsia="仿宋" w:cs="仿宋"/>
          <w:sz w:val="32"/>
          <w:szCs w:val="32"/>
          <w:lang w:val="en-US" w:eastAsia="zh-Hans"/>
        </w:rPr>
        <w:t>日下午</w:t>
      </w:r>
      <w:r>
        <w:rPr>
          <w:rFonts w:hint="default" w:ascii="仿宋" w:hAnsi="仿宋" w:eastAsia="仿宋" w:cs="仿宋"/>
          <w:sz w:val="32"/>
          <w:szCs w:val="32"/>
          <w:lang w:val="en-US" w:eastAsia="zh-Hans"/>
        </w:rPr>
        <w:t>15</w:t>
      </w:r>
      <w:r>
        <w:rPr>
          <w:rFonts w:hint="eastAsia" w:ascii="仿宋" w:hAnsi="仿宋" w:eastAsia="仿宋" w:cs="仿宋"/>
          <w:sz w:val="32"/>
          <w:szCs w:val="32"/>
          <w:lang w:val="en-US" w:eastAsia="zh-Hans"/>
        </w:rPr>
        <w:t>:</w:t>
      </w:r>
      <w:r>
        <w:rPr>
          <w:rFonts w:hint="default" w:ascii="仿宋" w:hAnsi="仿宋" w:eastAsia="仿宋" w:cs="仿宋"/>
          <w:sz w:val="32"/>
          <w:szCs w:val="32"/>
          <w:lang w:val="en-US" w:eastAsia="zh-Hans"/>
        </w:rPr>
        <w:t>00</w:t>
      </w:r>
      <w:r>
        <w:rPr>
          <w:rFonts w:hint="eastAsia" w:ascii="仿宋" w:hAnsi="仿宋" w:eastAsia="仿宋" w:cs="仿宋"/>
          <w:sz w:val="32"/>
          <w:szCs w:val="32"/>
          <w:lang w:val="en-US" w:eastAsia="zh-Hans"/>
        </w:rPr>
        <w:t>在省教育厅</w:t>
      </w:r>
      <w:r>
        <w:rPr>
          <w:rFonts w:hint="eastAsia" w:ascii="仿宋" w:hAnsi="仿宋" w:eastAsia="仿宋" w:cs="仿宋"/>
          <w:sz w:val="32"/>
          <w:szCs w:val="32"/>
          <w:lang w:val="en-US" w:eastAsia="zh-CN"/>
        </w:rPr>
        <w:t>评卷楼3</w:t>
      </w:r>
      <w:r>
        <w:rPr>
          <w:rFonts w:hint="eastAsia" w:ascii="仿宋" w:hAnsi="仿宋" w:eastAsia="仿宋" w:cs="仿宋"/>
          <w:sz w:val="32"/>
          <w:szCs w:val="32"/>
          <w:lang w:val="en-US" w:eastAsia="zh-Hans"/>
        </w:rPr>
        <w:t>楼第</w:t>
      </w:r>
      <w:r>
        <w:rPr>
          <w:rFonts w:hint="eastAsia" w:ascii="仿宋" w:hAnsi="仿宋" w:eastAsia="仿宋" w:cs="仿宋"/>
          <w:sz w:val="32"/>
          <w:szCs w:val="32"/>
          <w:lang w:val="en-US" w:eastAsia="zh-CN"/>
        </w:rPr>
        <w:t>7</w:t>
      </w:r>
      <w:r>
        <w:rPr>
          <w:rFonts w:hint="eastAsia" w:ascii="仿宋" w:hAnsi="仿宋" w:eastAsia="仿宋" w:cs="仿宋"/>
          <w:sz w:val="32"/>
          <w:szCs w:val="32"/>
          <w:lang w:val="en-US" w:eastAsia="zh-Hans"/>
        </w:rPr>
        <w:t>会议</w:t>
      </w:r>
      <w:r>
        <w:rPr>
          <w:rFonts w:hint="eastAsia" w:ascii="仿宋" w:hAnsi="仿宋" w:eastAsia="仿宋" w:cs="仿宋"/>
          <w:sz w:val="32"/>
          <w:szCs w:val="32"/>
          <w:lang w:val="en-US" w:eastAsia="zh-CN"/>
        </w:rPr>
        <w:t>室</w:t>
      </w:r>
      <w:r>
        <w:rPr>
          <w:rFonts w:hint="eastAsia" w:ascii="仿宋" w:hAnsi="仿宋" w:eastAsia="仿宋" w:cs="仿宋"/>
          <w:sz w:val="32"/>
          <w:szCs w:val="32"/>
          <w:lang w:val="en-US" w:eastAsia="zh-Hans"/>
        </w:rPr>
        <w:t>召开比赛抽签会</w:t>
      </w:r>
      <w:r>
        <w:rPr>
          <w:rFonts w:hint="default" w:ascii="仿宋" w:hAnsi="仿宋" w:eastAsia="仿宋" w:cs="仿宋"/>
          <w:sz w:val="32"/>
          <w:szCs w:val="32"/>
          <w:lang w:val="en-US" w:eastAsia="zh-Hans"/>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w:t>
      </w:r>
      <w:r>
        <w:rPr>
          <w:rFonts w:hint="eastAsia" w:ascii="黑体" w:hAnsi="黑体" w:eastAsia="黑体" w:cs="Times New Roman"/>
          <w:sz w:val="32"/>
          <w:szCs w:val="32"/>
          <w:lang w:eastAsia="zh-CN"/>
        </w:rPr>
        <w:t>比赛分组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（一）学生组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（二）教职工组</w:t>
      </w:r>
    </w:p>
    <w:p>
      <w:pPr>
        <w:pStyle w:val="3"/>
        <w:keepNext w:val="0"/>
        <w:keepLines w:val="0"/>
        <w:pageBreakBefore w:val="0"/>
        <w:widowControl w:val="0"/>
        <w:kinsoku/>
        <w:wordWrap/>
        <w:overflowPunct/>
        <w:topLinePunct w:val="0"/>
        <w:autoSpaceDE/>
        <w:autoSpaceDN/>
        <w:bidi w:val="0"/>
        <w:adjustRightInd/>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lang w:eastAsia="zh-CN"/>
        </w:rPr>
        <w:t>、</w:t>
      </w:r>
      <w:r>
        <w:rPr>
          <w:rFonts w:hint="eastAsia" w:ascii="黑体" w:hAnsi="黑体" w:eastAsia="黑体" w:cs="Times New Roman"/>
          <w:sz w:val="32"/>
          <w:szCs w:val="32"/>
        </w:rPr>
        <w:t>竞赛项目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（一）学生组：男子单打、女子单打、男子双打、女子双打、混合双打。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（二）教职工组：混合团体</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八</w:t>
      </w:r>
      <w:r>
        <w:rPr>
          <w:rFonts w:hint="eastAsia" w:ascii="黑体" w:hAnsi="黑体" w:eastAsia="黑体" w:cs="Times New Roman"/>
          <w:sz w:val="32"/>
          <w:szCs w:val="32"/>
          <w:lang w:eastAsia="zh-CN"/>
        </w:rPr>
        <w:t>、</w:t>
      </w:r>
      <w:r>
        <w:rPr>
          <w:rFonts w:hint="eastAsia" w:ascii="黑体" w:hAnsi="黑体" w:eastAsia="黑体" w:cs="Times New Roman"/>
          <w:sz w:val="32"/>
          <w:szCs w:val="32"/>
        </w:rPr>
        <w:t>参加单位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各高等学校，省教育厅。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九、运动员资格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（一）学生组参赛条件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1.中华人民共和国公民。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参赛运动员需为按照教育部关于全国普通高等学校招生、录取的有关规定，经考生（户籍）所在地高等学校招生委员会（办公室）审核录取，并已进入教育部高校学生司“全国高校新生录取及在校学生学籍管理系统”且具有所代表学校正式学籍的全日制在校、在读的普通高等学校学生。成人高等教育系列的学生不得报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3.遵守学生守则、运动员守则和有关反兴奋剂的管理规定，并经二级及以上医院检查证明身体健康适合所报项目（体检内容必须包含心电图、血压等与乒乓球运动相关的检测）。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特殊规定：凡在2019年1月1日至2023年11月30日期间曾代表省（自治区、直辖市）、职业俱乐部、行业协会（不含教育部学生体协）、企业参加过全运会、中国乒乓球俱乐部超级联赛、中国乒乓球甲A联赛、全国青年乒乓球锦标赛、全国青年运动会乒乓球比赛、全国乒乓球锦标赛、参加其它国家和地区职业俱乐部所组织的职业比赛者不得参加本次比赛，所有限制项目含预、决赛（以上秩序册为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（二）教职工组参赛条件。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1.各高校、省教育厅在职在编职工。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2.单位领导为省教育厅、本科高校副厅级以上干部，高职高专学校领导班子成员。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3.为保证安全，请参加本次比赛的所有运动员、教练员、领队及随队工作人员，必须由所在单位在当地保险公司办理“人身意外伤害保险”（含往返赛区途中及比赛期间）。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4.参赛运动员必须经县级以上医院（或学校医院）检查证明其身体健康，并适合参加乒乓球比赛，方能报名参赛。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十</w:t>
      </w:r>
      <w:r>
        <w:rPr>
          <w:rFonts w:hint="eastAsia" w:ascii="黑体" w:hAnsi="黑体" w:eastAsia="黑体"/>
          <w:sz w:val="32"/>
          <w:szCs w:val="32"/>
        </w:rPr>
        <w:t>、参加办法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（一）学生组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1.以学校为单位组队参赛，每队可报领队1人，教练员2人，运动员男、女各5人，队医和工作人员各1人。每队男、女各限报1名长胶打法的运动员报名参赛。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2.各校限报男、女单打各2人、男、女双打各2对和2对混双参加比赛。每名运动员最多参加2个单项比赛。</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3.双打项目不得跨校配对。各组别各项目报名不足4人（对、队），将取消该项目比赛。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（二）教职工组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每单位可报领队1名（各高校代表队领队由各参赛学校体育学院&lt;系、部&gt;负责人担任），教练员2人，工作人员2人，运动员可报12名。其中，在职单位领导干部不少于3名（男性单位领导不少于2名；女性单位领导不少于1名，如单位领导中无女性领导干部的，可由单位内设部门女性主要负责同志或具有正高级职称女性同志替换），教职工不少于4名（女2名、男2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十一</w:t>
      </w:r>
      <w:r>
        <w:rPr>
          <w:rFonts w:hint="eastAsia" w:ascii="黑体" w:hAnsi="黑体" w:eastAsia="黑体"/>
          <w:sz w:val="32"/>
          <w:szCs w:val="32"/>
        </w:rPr>
        <w:t>、竞赛办法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（一）学生组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1.比赛采用中国乒乓球协会最新审定的《乒乓球竞赛规则》。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2.比赛采用单淘汰赛制，如单项低于8人（对）则采取单循环赛。各单项比赛每场均采用三局二胜制，每局11分制。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3.比赛使用银河牌白色三星40mm＋乒乓球。比赛器材均为银河牌乒乓球系列产品。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4.各队应至少准备两套颜色明显不同的比赛服装（短袖T恤）。在比赛中本方服装主体颜色均应与对方明显区别，主体颜色不能为白色；双打比赛中本队服装必须保持一致。混双运动员服装款式相近，颜色一致。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5.本次比赛将进行严格的球拍检测。球拍检测内容：国际乒联最新公布批准颗粒胶或海绵胶的型号、厚度、击球拍面的平整度及摩擦力。球拍覆盖物不得经过任何物理的、化学的或其他方式的处理。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6.裁判长根据比赛进程，有权调整比赛的场序和场地,教练员和运动员应无条件配合并执行。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（二）教职工组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1.比赛采用中国乒协审定的最新《乒乓球竞赛规则》。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2.比赛第一阶段采用分组单循环，第二阶段取小组前二名进行淘汰赛。第一阶段的比赛每场采用三局二胜、每局11分制；第二阶段的比赛每场采用五局三胜、每局11分制。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3.比赛采用男、女混合团体对抗赛形式，每队出场人数为7人。其中，单位领导干部不限，教职工4人（男、女各2人）。双方选手的出场顺序为: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第一场（单打）：单位领导男A—单位领导男a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第二场（单打）：教职工男A—教职工男a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第三场（单打）：教职工女A—教职工女a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第四场（单打）：单位领导女A—单位领导女a</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第五场（单打）：教职工男B—教职工男b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第六场（单打）：单位领导男B—单位领导男b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第七场（单打）：教职工女B—教职工女b</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４.第一阶段小组循环赛7场比赛必须全部进行，第二阶段淘汰赛一方先胜4场则剩余比赛不再进行。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５.单位领导干部可替换同性别的教职工出场，但每名单位领导干部只能出场2次，</w:t>
      </w:r>
      <w:r>
        <w:rPr>
          <w:rFonts w:hint="eastAsia" w:ascii="仿宋" w:hAnsi="仿宋" w:eastAsia="仿宋" w:cs="仿宋"/>
          <w:kern w:val="2"/>
          <w:sz w:val="32"/>
          <w:szCs w:val="32"/>
          <w:lang w:val="en-US" w:eastAsia="zh-Hans" w:bidi="ar-SA"/>
        </w:rPr>
        <w:t>其他职工不得兼项</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６.各队应至少准备两套颜色明显不同的比赛服装（短袖T恤）。在比赛中本方服装主体颜色均应与对方明显区别，主体颜色不能为白色；比赛中本队服装必须保持一致。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７.本次比赛将进行严格的球拍检测。球拍检测内容：国际乒联最新公布批准颗粒胶或海绵胶的型号、厚度、击球拍面的平整度及摩擦力。球拍覆盖物不得经过任何物理的、化学的或其他方式的处理。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十二、</w:t>
      </w:r>
      <w:r>
        <w:rPr>
          <w:rFonts w:hint="eastAsia" w:ascii="黑体" w:hAnsi="黑体" w:eastAsia="黑体"/>
          <w:sz w:val="32"/>
          <w:szCs w:val="32"/>
        </w:rPr>
        <w:t>录取名次与奖励办法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Arial"/>
          <w:kern w:val="0"/>
          <w:sz w:val="32"/>
          <w:szCs w:val="32"/>
          <w:lang w:eastAsia="zh-CN"/>
        </w:rPr>
      </w:pPr>
      <w:r>
        <w:rPr>
          <w:rFonts w:hint="eastAsia" w:ascii="仿宋" w:hAnsi="仿宋" w:eastAsia="仿宋" w:cs="Arial"/>
          <w:kern w:val="0"/>
          <w:sz w:val="32"/>
          <w:szCs w:val="32"/>
          <w:lang w:eastAsia="zh-CN"/>
        </w:rPr>
        <w:t>（一）学生组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1.比赛录取各组别前八名，报名不足8人（对、队）的</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"http://baike.baidu.com/view/73412.htm"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比赛</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项目，按实际参赛人（对）数减一录取。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2.获得各项目比赛前三名的运动员，颁发金、银、铜牌；获得前八名的运动员颁发证书。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3.本次比赛将评选体育道德风尚奖（代表团、运动队、运动员、裁判员和志愿者）。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（二）教职工组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对获得前八名运动队颁发奖杯。前八名运动队（员）作为参加2024年全国高校“校长杯”乒乓球比赛组队的主要参考。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十三</w:t>
      </w:r>
      <w:r>
        <w:rPr>
          <w:rFonts w:hint="eastAsia" w:ascii="黑体" w:hAnsi="黑体" w:eastAsia="黑体"/>
          <w:sz w:val="32"/>
          <w:szCs w:val="32"/>
        </w:rPr>
        <w:t>、报名和报到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（一）报名办法及日期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1.各参赛单位须派教练员在12月15日前扫描下方微信二维码并进入群“2023高校乒乓球比赛”。</w:t>
      </w:r>
    </w:p>
    <w:p>
      <w:pPr>
        <w:pStyle w:val="3"/>
        <w:jc w:val="center"/>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drawing>
          <wp:inline distT="0" distB="0" distL="114300" distR="114300">
            <wp:extent cx="1753870" cy="1734820"/>
            <wp:effectExtent l="0" t="0" r="17780" b="17780"/>
            <wp:docPr id="1" name="图片 1" descr="微信图片_2023120809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08093822"/>
                    <pic:cNvPicPr>
                      <a:picLocks noChangeAspect="1"/>
                    </pic:cNvPicPr>
                  </pic:nvPicPr>
                  <pic:blipFill>
                    <a:blip r:embed="rId4"/>
                    <a:stretch>
                      <a:fillRect/>
                    </a:stretch>
                  </pic:blipFill>
                  <pic:spPr>
                    <a:xfrm>
                      <a:off x="0" y="0"/>
                      <a:ext cx="1753870" cy="17348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2.认真填写报名表（须在省教育厅网站下载并加盖公章），于12月20日前将相关报名表和学生运动员资格审查信息汇总表（加盖公章）扫描PDF格式和电子版（可编辑版本）命名“学校+项目组别”一并发送至发送至:</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"mailto:287352458@qq.com，一经报名不得更改。"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287352458@qq.com，一经报名不得更改。并将纸质版本以邮政特快专递EMS与运动员资格审查信息汇总表（加盖公章）一并寄送至贵州师范学院，</w:t>
      </w:r>
      <w:r>
        <w:rPr>
          <w:rFonts w:hint="eastAsia" w:ascii="仿宋" w:hAnsi="仿宋" w:eastAsia="仿宋" w:cs="仿宋"/>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报名邮寄地址、联系电话：报名表请注明“2023高校乒乓球比赛学生组或2023高校乒乓球比赛职工组”字样。各单位必须严格按照规定日期报名，逾期不予受理（时间以当地邮戳为准）。地址：贵阳市乌当区高新路115号贵州师范学院，邮编：550081。联系人:王亮，联系电话：18685011425。</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4.所有参会人员（含运动员、教练员、领队及工作人员等）必须在学校所在地保险公司办理人身意外伤害保险（含往返赛区途中及比赛期间），保额不低于30万元（建议增加医疗保险比例）。</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（二）报到</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1.参赛队伍于12月25日中午12:00前到指定地点报到。集合、报到地点微信群里另行通知。</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2.运动队报到时须进行资格审查，资格审查需交验本人二代居民身份证原件、保险单据原件、体检证明原件，缺一者不得参赛。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十四、赛风赛纪与资格审查 </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（一）凡在运动会期间出现违反教师准则、学生守则及体育道德、赛风赛纪行为的参赛人员将被取消参赛资格，违反法律的移交公安机关处理。</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赛设资格审查及纪律监察组，严格按照有关规定对所有报名参赛运动员的资格进行审查，对弄虚作假、违反规定者将按照《全国学生体育竞赛纪律处罚规定》从严从重处理。如在赛前发现不符合参赛资格者，将取消其参赛资格，并不得改报他人，如在赛中、赛后发现有不符合比赛资格者，将取消本人或所在队的比赛资格和成绩，取消所属单位评审体育道德风尚奖资格，</w:t>
      </w:r>
      <w:r>
        <w:rPr>
          <w:rFonts w:hint="default" w:ascii="仿宋" w:hAnsi="仿宋" w:eastAsia="仿宋" w:cs="仿宋"/>
          <w:kern w:val="2"/>
          <w:sz w:val="32"/>
          <w:szCs w:val="32"/>
          <w:lang w:val="en-US" w:eastAsia="zh-CN" w:bidi="ar-SA"/>
        </w:rPr>
        <w:t>追究单位第一责任人的责任并通报全省，处罚意见书将直接</w:t>
      </w:r>
      <w:r>
        <w:rPr>
          <w:rFonts w:hint="eastAsia" w:ascii="仿宋" w:hAnsi="仿宋" w:eastAsia="仿宋" w:cs="仿宋"/>
          <w:kern w:val="2"/>
          <w:sz w:val="32"/>
          <w:szCs w:val="32"/>
          <w:lang w:val="en-US" w:eastAsia="zh-CN" w:bidi="ar-SA"/>
        </w:rPr>
        <w:t>下发所在学</w:t>
      </w:r>
      <w:r>
        <w:rPr>
          <w:rFonts w:hint="default" w:ascii="仿宋" w:hAnsi="仿宋" w:eastAsia="仿宋" w:cs="仿宋"/>
          <w:kern w:val="2"/>
          <w:sz w:val="32"/>
          <w:szCs w:val="32"/>
          <w:lang w:val="en-US" w:eastAsia="zh-CN" w:bidi="ar-SA"/>
        </w:rPr>
        <w:t>校。</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（三）凡对参赛运动员（队）的资格问题有异议提出申诉者，需向资格审查及纪律监察组提交经领队签字的申诉书及所举报内容的证据，同时缴纳申诉费人民币1000元。</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比赛中如遇争议，参赛单位领队或教练应及时向裁判长口头提出，裁判长裁决后如仍有异议，须在30分钟内向大会提出书面申诉，书面申诉必须由领队签字，同时缴纳申诉费人民币1000元，最终结果由仲裁委员会作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五</w:t>
      </w:r>
      <w:r>
        <w:rPr>
          <w:rFonts w:hint="eastAsia" w:ascii="黑体" w:hAnsi="黑体" w:eastAsia="黑体"/>
          <w:sz w:val="32"/>
          <w:szCs w:val="32"/>
        </w:rPr>
        <w:t>、经费</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本次比赛各项筹办费用由省教育厅负责，各代表队一切费用自理。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Times New Roman"/>
          <w:sz w:val="32"/>
          <w:szCs w:val="32"/>
          <w:lang w:val="en-US" w:eastAsia="zh-CN"/>
        </w:rPr>
        <w:t>十六</w:t>
      </w:r>
      <w:r>
        <w:rPr>
          <w:rFonts w:hint="eastAsia" w:ascii="仿宋_GB2312" w:hAnsi="Times New Roman" w:eastAsia="仿宋_GB2312" w:cs="Times New Roman"/>
          <w:sz w:val="32"/>
          <w:szCs w:val="32"/>
          <w:lang w:val="en-US" w:eastAsia="zh-CN"/>
        </w:rPr>
        <w:t>、</w:t>
      </w:r>
      <w:r>
        <w:rPr>
          <w:rFonts w:hint="eastAsia" w:ascii="仿宋" w:hAnsi="仿宋" w:eastAsia="仿宋" w:cs="仿宋"/>
          <w:kern w:val="2"/>
          <w:sz w:val="32"/>
          <w:szCs w:val="32"/>
          <w:lang w:val="en-US" w:eastAsia="zh-CN" w:bidi="ar-SA"/>
        </w:rPr>
        <w:t>主要技术官员(含技术代表、仲裁、裁判长等)由主办单位选派，裁判员及其他辅助人员由协办单位提出建议名单，报主办单位审定。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Times New Roman"/>
          <w:sz w:val="32"/>
          <w:szCs w:val="32"/>
          <w:lang w:val="en-US" w:eastAsia="zh-CN"/>
        </w:rPr>
        <w:t>十七</w:t>
      </w:r>
      <w:r>
        <w:rPr>
          <w:rFonts w:hint="eastAsia" w:ascii="仿宋_GB2312" w:hAnsi="Times New Roman" w:eastAsia="仿宋_GB2312" w:cs="Times New Roman"/>
          <w:sz w:val="32"/>
          <w:szCs w:val="32"/>
          <w:lang w:val="en-US" w:eastAsia="zh-CN"/>
        </w:rPr>
        <w:t>、</w:t>
      </w:r>
      <w:r>
        <w:rPr>
          <w:rFonts w:hint="eastAsia" w:ascii="仿宋" w:hAnsi="仿宋" w:eastAsia="仿宋" w:cs="仿宋"/>
          <w:kern w:val="2"/>
          <w:sz w:val="32"/>
          <w:szCs w:val="32"/>
          <w:lang w:val="en-US" w:eastAsia="zh-CN" w:bidi="ar-SA"/>
        </w:rPr>
        <w:t>本规程可在www.gzsjyt.gov.cn下载。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Times New Roman"/>
          <w:sz w:val="32"/>
          <w:szCs w:val="32"/>
          <w:lang w:val="en-US" w:eastAsia="zh-CN"/>
        </w:rPr>
        <w:t>十八、</w:t>
      </w:r>
      <w:r>
        <w:rPr>
          <w:rFonts w:hint="eastAsia" w:ascii="仿宋" w:hAnsi="仿宋" w:eastAsia="仿宋" w:cs="仿宋"/>
          <w:kern w:val="2"/>
          <w:sz w:val="32"/>
          <w:szCs w:val="32"/>
          <w:lang w:val="en-US" w:eastAsia="zh-CN" w:bidi="ar-SA"/>
        </w:rPr>
        <w:t>本规程解释权属省教育厅。未尽事宜，由承办单位另行通知。</w:t>
      </w:r>
    </w:p>
    <w:p>
      <w:pPr>
        <w:spacing w:line="500" w:lineRule="exact"/>
        <w:ind w:firstLine="640"/>
        <w:jc w:val="left"/>
        <w:rPr>
          <w:rFonts w:hint="eastAsia" w:ascii="仿宋_GB2312"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_GB2312" w:hAnsi="Times New Roman" w:eastAsia="仿宋_GB2312" w:cs="Times New Roman"/>
          <w:sz w:val="32"/>
          <w:szCs w:val="32"/>
          <w:lang w:val="en-US" w:eastAsia="zh-CN"/>
        </w:rPr>
        <w:t>附表：</w:t>
      </w:r>
      <w:r>
        <w:rPr>
          <w:rFonts w:hint="eastAsia" w:ascii="仿宋" w:hAnsi="仿宋" w:eastAsia="仿宋" w:cs="仿宋"/>
          <w:kern w:val="2"/>
          <w:sz w:val="32"/>
          <w:szCs w:val="32"/>
          <w:lang w:val="en-US" w:eastAsia="zh-CN" w:bidi="ar-SA"/>
        </w:rPr>
        <w:t>1.2023年全省高校乒乓球比赛报名表（学生组）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2.2023年全省高校乒乓球比赛报名表（教职工组）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3.学生运动员资格审查信息汇总表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kern w:val="2"/>
          <w:sz w:val="32"/>
          <w:szCs w:val="32"/>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方正黑体_GBK" w:hAnsi="方正黑体_GBK" w:eastAsia="方正黑体_GBK" w:cs="方正黑体_GBK"/>
          <w:kern w:val="2"/>
          <w:sz w:val="28"/>
          <w:szCs w:val="28"/>
          <w:lang w:val="en-US" w:eastAsia="zh-CN" w:bidi="ar-SA"/>
        </w:rPr>
      </w:pPr>
    </w:p>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附表1</w:t>
      </w:r>
    </w:p>
    <w:p>
      <w:pPr>
        <w:pStyle w:val="3"/>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2023年全省高校乒乓球比赛报名表</w:t>
      </w:r>
    </w:p>
    <w:p>
      <w:pPr>
        <w:pStyle w:val="3"/>
        <w:ind w:firstLine="3840" w:firstLineChars="1200"/>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（学生组）</w:t>
      </w:r>
    </w:p>
    <w:p>
      <w:pPr>
        <w:pStyle w:val="3"/>
        <w:rPr>
          <w:rFonts w:hint="eastAsia" w:ascii="仿宋_GB2312" w:hAnsi="宋体" w:eastAsia="仿宋_GB2312" w:cs="宋体"/>
          <w:kern w:val="2"/>
          <w:sz w:val="28"/>
          <w:szCs w:val="28"/>
          <w:lang w:val="en-US" w:eastAsia="zh-CN" w:bidi="ar-SA"/>
        </w:rPr>
      </w:pPr>
    </w:p>
    <w:tbl>
      <w:tblPr>
        <w:tblStyle w:val="4"/>
        <w:tblW w:w="8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404"/>
        <w:gridCol w:w="840"/>
        <w:gridCol w:w="3060"/>
        <w:gridCol w:w="592"/>
        <w:gridCol w:w="491"/>
        <w:gridCol w:w="496"/>
        <w:gridCol w:w="364"/>
        <w:gridCol w:w="218"/>
        <w:gridCol w:w="17"/>
        <w:gridCol w:w="472"/>
        <w:gridCol w:w="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90" w:hRule="atLeast"/>
        </w:trPr>
        <w:tc>
          <w:tcPr>
            <w:tcW w:w="8720" w:type="dxa"/>
            <w:gridSpan w:val="11"/>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766" w:type="dxa"/>
            <w:vMerge w:val="restart"/>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工作人员</w:t>
            </w:r>
          </w:p>
        </w:tc>
        <w:tc>
          <w:tcPr>
            <w:tcW w:w="1404" w:type="dxa"/>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840" w:type="dxa"/>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性别</w:t>
            </w:r>
          </w:p>
        </w:tc>
        <w:tc>
          <w:tcPr>
            <w:tcW w:w="3652" w:type="dxa"/>
            <w:gridSpan w:val="2"/>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队内职务</w:t>
            </w:r>
          </w:p>
        </w:tc>
        <w:tc>
          <w:tcPr>
            <w:tcW w:w="1351" w:type="dxa"/>
            <w:gridSpan w:val="3"/>
            <w:tcBorders>
              <w:top w:val="single" w:color="000000" w:sz="8"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联系方式</w:t>
            </w:r>
          </w:p>
        </w:tc>
        <w:tc>
          <w:tcPr>
            <w:tcW w:w="707" w:type="dxa"/>
            <w:gridSpan w:val="3"/>
            <w:tcBorders>
              <w:top w:val="single" w:color="000000" w:sz="8" w:space="0"/>
              <w:left w:val="single" w:color="000000" w:sz="4" w:space="0"/>
              <w:bottom w:val="single" w:color="000000" w:sz="4"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365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领队</w:t>
            </w:r>
          </w:p>
        </w:tc>
        <w:tc>
          <w:tcPr>
            <w:tcW w:w="135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707"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365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教练</w:t>
            </w:r>
          </w:p>
        </w:tc>
        <w:tc>
          <w:tcPr>
            <w:tcW w:w="135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707"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365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教练</w:t>
            </w:r>
          </w:p>
        </w:tc>
        <w:tc>
          <w:tcPr>
            <w:tcW w:w="135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707"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365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队医</w:t>
            </w:r>
          </w:p>
        </w:tc>
        <w:tc>
          <w:tcPr>
            <w:tcW w:w="135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707"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766" w:type="dxa"/>
            <w:vMerge w:val="continue"/>
            <w:tcBorders>
              <w:top w:val="single" w:color="000000" w:sz="8" w:space="0"/>
              <w:left w:val="single" w:color="000000" w:sz="8" w:space="0"/>
              <w:bottom w:val="single" w:color="000000" w:sz="4" w:space="0"/>
              <w:right w:val="single" w:color="000000" w:sz="4" w:space="0"/>
            </w:tcBorders>
            <w:shd w:val="clear" w:color="auto" w:fill="EBF1DE"/>
            <w:noWrap/>
            <w:textDirection w:val="tbRlV"/>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404"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3652" w:type="dxa"/>
            <w:gridSpan w:val="2"/>
            <w:tcBorders>
              <w:top w:val="single" w:color="000000" w:sz="4" w:space="0"/>
              <w:left w:val="single" w:color="000000" w:sz="4" w:space="0"/>
              <w:bottom w:val="doub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工作人员</w:t>
            </w:r>
          </w:p>
        </w:tc>
        <w:tc>
          <w:tcPr>
            <w:tcW w:w="1351" w:type="dxa"/>
            <w:gridSpan w:val="3"/>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707" w:type="dxa"/>
            <w:gridSpan w:val="3"/>
            <w:tcBorders>
              <w:top w:val="single" w:color="000000" w:sz="4" w:space="0"/>
              <w:left w:val="single" w:color="000000" w:sz="4" w:space="0"/>
              <w:bottom w:val="nil"/>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8720" w:type="dxa"/>
            <w:gridSpan w:val="11"/>
            <w:tcBorders>
              <w:top w:val="double" w:color="000000" w:sz="4" w:space="0"/>
              <w:left w:val="single" w:color="000000" w:sz="8" w:space="0"/>
              <w:bottom w:val="nil"/>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766" w:type="dxa"/>
            <w:vMerge w:val="restart"/>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性别</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组别</w:t>
            </w:r>
          </w:p>
        </w:tc>
        <w:tc>
          <w:tcPr>
            <w:tcW w:w="1569" w:type="dxa"/>
            <w:gridSpan w:val="4"/>
            <w:tcBorders>
              <w:top w:val="single" w:color="000000" w:sz="4" w:space="0"/>
              <w:left w:val="single" w:color="000000" w:sz="4" w:space="0"/>
              <w:bottom w:val="single" w:color="000000" w:sz="4" w:space="0"/>
              <w:right w:val="nil"/>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参加项目</w:t>
            </w:r>
          </w:p>
        </w:tc>
        <w:tc>
          <w:tcPr>
            <w:tcW w:w="489" w:type="dxa"/>
            <w:gridSpan w:val="2"/>
            <w:vMerge w:val="restart"/>
            <w:tcBorders>
              <w:top w:val="single" w:color="000000" w:sz="4" w:space="0"/>
              <w:left w:val="single" w:color="000000" w:sz="4" w:space="0"/>
              <w:bottom w:val="single" w:color="000000" w:sz="4" w:space="0"/>
              <w:right w:val="single" w:color="000000" w:sz="8"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766" w:type="dxa"/>
            <w:vMerge w:val="continue"/>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单打</w:t>
            </w:r>
          </w:p>
        </w:tc>
        <w:tc>
          <w:tcPr>
            <w:tcW w:w="496"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双打</w:t>
            </w:r>
          </w:p>
        </w:tc>
        <w:tc>
          <w:tcPr>
            <w:tcW w:w="582" w:type="dxa"/>
            <w:gridSpan w:val="2"/>
            <w:tcBorders>
              <w:top w:val="single" w:color="000000" w:sz="4" w:space="0"/>
              <w:left w:val="single" w:color="000000" w:sz="4" w:space="0"/>
              <w:bottom w:val="single" w:color="000000" w:sz="4" w:space="0"/>
              <w:right w:val="nil"/>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混双</w:t>
            </w:r>
          </w:p>
        </w:tc>
        <w:tc>
          <w:tcPr>
            <w:tcW w:w="489" w:type="dxa"/>
            <w:gridSpan w:val="2"/>
            <w:vMerge w:val="continue"/>
            <w:tcBorders>
              <w:top w:val="single" w:color="000000" w:sz="4" w:space="0"/>
              <w:left w:val="single" w:color="000000" w:sz="4" w:space="0"/>
              <w:bottom w:val="single" w:color="000000" w:sz="4" w:space="0"/>
              <w:right w:val="single" w:color="000000" w:sz="8" w:space="0"/>
            </w:tcBorders>
            <w:shd w:val="clear" w:color="auto" w:fill="EBF1DE"/>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trPr>
        <w:tc>
          <w:tcPr>
            <w:tcW w:w="766" w:type="dxa"/>
            <w:tcBorders>
              <w:top w:val="single" w:color="000000" w:sz="4" w:space="0"/>
              <w:left w:val="single" w:color="000000" w:sz="8" w:space="0"/>
              <w:bottom w:val="single" w:color="000000"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5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c>
          <w:tcPr>
            <w:tcW w:w="488" w:type="dxa"/>
            <w:gridSpan w:val="2"/>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372" w:hRule="atLeast"/>
        </w:trPr>
        <w:tc>
          <w:tcPr>
            <w:tcW w:w="3010" w:type="dxa"/>
            <w:gridSpan w:val="3"/>
            <w:tcBorders>
              <w:top w:val="nil"/>
              <w:left w:val="single" w:color="000000" w:sz="8" w:space="0"/>
              <w:bottom w:val="single" w:color="auto"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运动员总人数</w:t>
            </w:r>
          </w:p>
        </w:tc>
        <w:tc>
          <w:tcPr>
            <w:tcW w:w="306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p>
        </w:tc>
        <w:tc>
          <w:tcPr>
            <w:tcW w:w="1579" w:type="dxa"/>
            <w:gridSpan w:val="3"/>
            <w:tcBorders>
              <w:top w:val="nil"/>
              <w:left w:val="single" w:color="000000" w:sz="4" w:space="0"/>
              <w:bottom w:val="single" w:color="auto" w:sz="4" w:space="0"/>
              <w:right w:val="single" w:color="000000" w:sz="4" w:space="0"/>
            </w:tcBorders>
            <w:shd w:val="clear" w:color="auto" w:fill="EBF1DE"/>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15"/>
                <w:szCs w:val="15"/>
                <w:u w:val="none"/>
                <w:lang w:val="en-US" w:eastAsia="zh-CN" w:bidi="ar"/>
              </w:rPr>
              <w:t>工作人员总人数</w:t>
            </w:r>
          </w:p>
        </w:tc>
        <w:tc>
          <w:tcPr>
            <w:tcW w:w="1071" w:type="dxa"/>
            <w:gridSpan w:val="4"/>
            <w:tcBorders>
              <w:top w:val="nil"/>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 w:type="dxa"/>
          <w:trHeight w:val="564" w:hRule="atLeast"/>
        </w:trPr>
        <w:tc>
          <w:tcPr>
            <w:tcW w:w="8720" w:type="dxa"/>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联系人：                                 </w:t>
            </w:r>
            <w:r>
              <w:rPr>
                <w:rFonts w:hint="default" w:ascii="Times New Roman" w:hAnsi="Times New Roman" w:eastAsia="宋体" w:cs="Times New Roman"/>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736" w:type="dxa"/>
            <w:gridSpan w:val="12"/>
            <w:tcBorders>
              <w:top w:val="nil"/>
              <w:left w:val="nil"/>
              <w:bottom w:val="nil"/>
              <w:right w:val="nil"/>
            </w:tcBorders>
            <w:noWrap/>
            <w:vAlign w:val="center"/>
          </w:tcPr>
          <w:p>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400" w:lineRule="exact"/>
              <w:jc w:val="left"/>
              <w:rPr>
                <w:rStyle w:val="6"/>
                <w:rFonts w:eastAsia="宋体"/>
                <w:lang w:val="en-US" w:eastAsia="zh-CN" w:bidi="ar"/>
              </w:rPr>
            </w:pPr>
            <w:r>
              <w:rPr>
                <w:rStyle w:val="6"/>
                <w:rFonts w:eastAsia="宋体"/>
                <w:lang w:val="en-US" w:eastAsia="zh-CN" w:bidi="ar"/>
              </w:rPr>
              <w:t xml:space="preserve"> 1. </w:t>
            </w:r>
            <w:r>
              <w:rPr>
                <w:rStyle w:val="7"/>
                <w:lang w:val="en-US" w:eastAsia="zh-CN" w:bidi="ar"/>
              </w:rPr>
              <w:t>报名表将由计算机统一处理，请在空白处按要求填</w:t>
            </w:r>
            <w:r>
              <w:rPr>
                <w:rStyle w:val="7"/>
                <w:rFonts w:ascii="宋体" w:hAnsi="宋体" w:eastAsia="宋体" w:cs="宋体"/>
                <w:i w:val="0"/>
                <w:lang w:val="en-US" w:eastAsia="zh-CN" w:bidi="ar"/>
              </w:rPr>
              <w:t>写,不可以变动表的格式。</w:t>
            </w:r>
          </w:p>
          <w:p>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4"/>
                <w:szCs w:val="24"/>
                <w:u w:val="none"/>
              </w:rPr>
            </w:pPr>
            <w:r>
              <w:rPr>
                <w:rStyle w:val="6"/>
                <w:rFonts w:eastAsia="宋体"/>
                <w:lang w:val="en-US" w:eastAsia="zh-CN" w:bidi="ar"/>
              </w:rPr>
              <w:t xml:space="preserve"> 2. </w:t>
            </w:r>
            <w:r>
              <w:rPr>
                <w:rStyle w:val="7"/>
                <w:lang w:val="en-US" w:eastAsia="zh-CN" w:bidi="ar"/>
              </w:rPr>
              <w:t>参加单打队员在栏内打“√”，留空表示不参加。</w:t>
            </w:r>
          </w:p>
          <w:p>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4"/>
                <w:szCs w:val="24"/>
                <w:u w:val="none"/>
              </w:rPr>
            </w:pPr>
            <w:r>
              <w:rPr>
                <w:rStyle w:val="6"/>
                <w:rFonts w:eastAsia="宋体"/>
                <w:lang w:val="en-US" w:eastAsia="zh-CN" w:bidi="ar"/>
              </w:rPr>
              <w:t xml:space="preserve"> 3. </w:t>
            </w:r>
            <w:r>
              <w:rPr>
                <w:rStyle w:val="7"/>
                <w:lang w:val="en-US" w:eastAsia="zh-CN" w:bidi="ar"/>
              </w:rPr>
              <w:t>参加双打、混双队员在两人对应的栏内注明配对序号（数字或字母）。</w:t>
            </w:r>
          </w:p>
        </w:tc>
      </w:tr>
    </w:tbl>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p>
    <w:p>
      <w:pPr>
        <w:pStyle w:val="3"/>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附表2</w:t>
      </w: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2023年全省高校乒乓球比赛报名表</w:t>
      </w:r>
    </w:p>
    <w:p>
      <w:pPr>
        <w:pStyle w:val="3"/>
        <w:jc w:val="center"/>
        <w:rPr>
          <w:rFonts w:hint="eastAsia"/>
          <w:lang w:val="en-US" w:eastAsia="zh-CN"/>
        </w:rPr>
      </w:pPr>
      <w:r>
        <w:rPr>
          <w:rFonts w:hint="eastAsia" w:ascii="方正小标宋简体" w:hAnsi="方正小标宋简体" w:eastAsia="方正小标宋简体" w:cs="方正小标宋简体"/>
          <w:sz w:val="32"/>
          <w:szCs w:val="32"/>
          <w:lang w:val="en-US" w:eastAsia="zh-CN"/>
        </w:rPr>
        <w:t>（教职工组）</w:t>
      </w:r>
    </w:p>
    <w:p>
      <w:pPr>
        <w:pStyle w:val="3"/>
        <w:rPr>
          <w:rFonts w:hint="eastAsia"/>
        </w:rPr>
      </w:pP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参赛单位（盖章）</w:t>
            </w:r>
            <w:r>
              <w:rPr>
                <w:rFonts w:hint="eastAsia" w:ascii="仿宋_GB2312" w:hAnsi="宋体" w:eastAsia="仿宋_GB2312" w:cs="宋体"/>
                <w:sz w:val="28"/>
                <w:szCs w:val="28"/>
                <w:lang w:val="en-US" w:eastAsia="zh-CN"/>
              </w:rPr>
              <w:t>:</w:t>
            </w:r>
          </w:p>
        </w:tc>
        <w:tc>
          <w:tcPr>
            <w:tcW w:w="14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领  队</w:t>
            </w:r>
          </w:p>
        </w:tc>
        <w:tc>
          <w:tcPr>
            <w:tcW w:w="14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6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98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单位领导签字</w:t>
            </w:r>
          </w:p>
        </w:tc>
        <w:tc>
          <w:tcPr>
            <w:tcW w:w="298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教练员</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14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工作人员</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29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14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联系人</w:t>
            </w:r>
          </w:p>
        </w:tc>
        <w:tc>
          <w:tcPr>
            <w:tcW w:w="29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
                <w:bCs/>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b/>
                <w:bCs/>
                <w:sz w:val="28"/>
                <w:szCs w:val="28"/>
              </w:rPr>
            </w:pPr>
            <w:r>
              <w:rPr>
                <w:rFonts w:hint="eastAsia" w:ascii="仿宋_GB2312" w:hAnsi="宋体" w:eastAsia="仿宋_GB2312" w:cs="宋体"/>
                <w:b/>
                <w:bCs/>
                <w:sz w:val="28"/>
                <w:szCs w:val="28"/>
              </w:rPr>
              <w:t>联系电话</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b/>
                <w:bCs/>
                <w:sz w:val="28"/>
                <w:szCs w:val="28"/>
              </w:rPr>
              <w:t>运动员名单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姓名</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性别</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年龄</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lang w:eastAsia="zh-CN"/>
              </w:rPr>
            </w:pPr>
            <w:r>
              <w:rPr>
                <w:rFonts w:hint="eastAsia" w:ascii="仿宋_GB2312" w:hAnsi="宋体" w:eastAsia="仿宋_GB2312" w:cs="宋体"/>
                <w:sz w:val="24"/>
                <w:szCs w:val="24"/>
              </w:rPr>
              <w:t>职务</w:t>
            </w:r>
            <w:r>
              <w:rPr>
                <w:rFonts w:hint="eastAsia" w:ascii="仿宋_GB2312" w:hAnsi="宋体" w:eastAsia="仿宋_GB2312" w:cs="宋体"/>
                <w:sz w:val="24"/>
                <w:szCs w:val="24"/>
                <w:lang w:eastAsia="zh-CN"/>
              </w:rPr>
              <w:t>（职称）</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r>
              <w:rPr>
                <w:rFonts w:hint="eastAsia" w:ascii="仿宋_GB2312" w:hAnsi="宋体" w:eastAsia="仿宋_GB2312" w:cs="宋体"/>
                <w:sz w:val="28"/>
                <w:szCs w:val="28"/>
              </w:rPr>
              <w:t>5</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6</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7</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8</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9</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10</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11</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12</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z w:val="28"/>
                <w:szCs w:val="28"/>
              </w:rPr>
            </w:pPr>
          </w:p>
        </w:tc>
      </w:tr>
    </w:tbl>
    <w:p>
      <w:pPr>
        <w:keepNext w:val="0"/>
        <w:keepLines w:val="0"/>
        <w:pageBreakBefore w:val="0"/>
        <w:kinsoku/>
        <w:wordWrap/>
        <w:overflowPunct/>
        <w:topLinePunct w:val="0"/>
        <w:autoSpaceDE/>
        <w:autoSpaceDN/>
        <w:bidi w:val="0"/>
        <w:spacing w:line="520" w:lineRule="exact"/>
        <w:jc w:val="both"/>
        <w:textAlignment w:val="auto"/>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pStyle w:val="2"/>
        <w:rPr>
          <w:rFonts w:hint="default" w:ascii="仿宋_GB2312" w:eastAsia="仿宋_GB2312"/>
          <w:sz w:val="32"/>
          <w:szCs w:val="32"/>
          <w:lang w:val="en-US" w:eastAsia="zh-CN"/>
        </w:rPr>
      </w:pPr>
    </w:p>
    <w:p>
      <w:pPr>
        <w:spacing w:line="500" w:lineRule="exact"/>
        <w:jc w:val="left"/>
        <w:rPr>
          <w:rFonts w:hint="eastAsia" w:ascii="黑体" w:hAnsi="黑体" w:eastAsia="黑体" w:cs="黑体"/>
          <w:bCs/>
          <w:sz w:val="32"/>
          <w:szCs w:val="32"/>
          <w:lang w:eastAsia="zh-CN"/>
        </w:rPr>
      </w:pPr>
    </w:p>
    <w:p>
      <w:pPr>
        <w:spacing w:line="50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附表</w:t>
      </w:r>
      <w:r>
        <w:rPr>
          <w:rFonts w:hint="eastAsia" w:ascii="黑体" w:hAnsi="黑体" w:eastAsia="黑体" w:cs="黑体"/>
          <w:bCs/>
          <w:sz w:val="32"/>
          <w:szCs w:val="32"/>
          <w:lang w:val="en-US" w:eastAsia="zh-CN"/>
        </w:rPr>
        <w:t>3</w:t>
      </w:r>
    </w:p>
    <w:p>
      <w:pPr>
        <w:spacing w:line="5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lang w:eastAsia="zh-CN"/>
        </w:rPr>
        <w:t>学生</w:t>
      </w:r>
      <w:r>
        <w:rPr>
          <w:rFonts w:hint="eastAsia" w:ascii="方正小标宋简体" w:hAnsi="宋体" w:eastAsia="方正小标宋简体" w:cs="宋体"/>
          <w:bCs/>
          <w:sz w:val="44"/>
          <w:szCs w:val="44"/>
        </w:rPr>
        <w:t>运动员资格审查信息汇总表</w:t>
      </w:r>
    </w:p>
    <w:p>
      <w:pPr>
        <w:spacing w:line="500" w:lineRule="exact"/>
        <w:jc w:val="center"/>
        <w:rPr>
          <w:rFonts w:hint="eastAsia"/>
          <w:b/>
          <w:bCs/>
        </w:rPr>
      </w:pPr>
      <w:r>
        <w:rPr>
          <w:rFonts w:hint="eastAsia" w:ascii="仿宋" w:hAnsi="仿宋" w:eastAsia="仿宋" w:cs="仿宋"/>
          <w:b/>
          <w:bCs/>
          <w:sz w:val="32"/>
          <w:szCs w:val="32"/>
        </w:rPr>
        <w:t>（此表电子版请以</w:t>
      </w:r>
      <w:r>
        <w:rPr>
          <w:rFonts w:ascii="仿宋" w:hAnsi="仿宋" w:eastAsia="仿宋" w:cs="仿宋"/>
          <w:b/>
          <w:bCs/>
          <w:sz w:val="32"/>
          <w:szCs w:val="32"/>
        </w:rPr>
        <w:t>EXCEL</w:t>
      </w:r>
      <w:r>
        <w:rPr>
          <w:rFonts w:hint="eastAsia" w:ascii="仿宋" w:hAnsi="仿宋" w:eastAsia="仿宋" w:cs="仿宋"/>
          <w:b/>
          <w:bCs/>
          <w:sz w:val="32"/>
          <w:szCs w:val="32"/>
        </w:rPr>
        <w:t>格式提交）</w:t>
      </w:r>
    </w:p>
    <w:p>
      <w:pPr>
        <w:spacing w:line="240" w:lineRule="auto"/>
        <w:jc w:val="left"/>
        <w:rPr>
          <w:b w:val="0"/>
          <w:bCs w:val="0"/>
          <w:sz w:val="32"/>
          <w:szCs w:val="32"/>
        </w:rPr>
      </w:pPr>
      <w:r>
        <w:rPr>
          <w:rFonts w:hint="eastAsia"/>
          <w:b w:val="0"/>
          <w:bCs w:val="0"/>
          <w:sz w:val="32"/>
          <w:szCs w:val="32"/>
        </w:rPr>
        <w:t>学校名称：</w:t>
      </w:r>
      <w:r>
        <w:rPr>
          <w:b w:val="0"/>
          <w:bCs w:val="0"/>
          <w:sz w:val="32"/>
          <w:szCs w:val="32"/>
        </w:rPr>
        <w:t xml:space="preserve">                        </w:t>
      </w:r>
    </w:p>
    <w:tbl>
      <w:tblPr>
        <w:tblStyle w:val="4"/>
        <w:tblpPr w:leftFromText="180" w:rightFromText="180" w:vertAnchor="text" w:horzAnchor="page" w:tblpX="1903" w:tblpY="256"/>
        <w:tblOverlap w:val="never"/>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160"/>
        <w:gridCol w:w="2415"/>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运动员姓名</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就读院系及专业</w:t>
            </w: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kern w:val="0"/>
                <w:sz w:val="20"/>
                <w:szCs w:val="20"/>
                <w:lang w:eastAsia="zh-CN"/>
              </w:rPr>
            </w:pPr>
            <w:r>
              <w:rPr>
                <w:rFonts w:hint="eastAsia" w:ascii="黑体" w:hAnsi="黑体" w:eastAsia="黑体" w:cs="黑体"/>
                <w:b w:val="0"/>
                <w:bCs w:val="0"/>
                <w:kern w:val="0"/>
                <w:sz w:val="20"/>
                <w:szCs w:val="20"/>
                <w:lang w:eastAsia="zh-CN"/>
              </w:rPr>
              <w:t>考生号</w:t>
            </w: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kern w:val="0"/>
                <w:sz w:val="20"/>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F5782"/>
    <w:multiLevelType w:val="singleLevel"/>
    <w:tmpl w:val="BF3F57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4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3">
    <w:name w:val="footnote text"/>
    <w:basedOn w:val="1"/>
    <w:qFormat/>
    <w:uiPriority w:val="0"/>
    <w:pPr>
      <w:snapToGrid w:val="0"/>
    </w:pPr>
  </w:style>
  <w:style w:type="character" w:customStyle="1" w:styleId="6">
    <w:name w:val="font131"/>
    <w:basedOn w:val="5"/>
    <w:qFormat/>
    <w:uiPriority w:val="0"/>
    <w:rPr>
      <w:rFonts w:hint="default" w:ascii="Times New Roman" w:hAnsi="Times New Roman" w:cs="Times New Roman"/>
      <w:b/>
      <w:color w:val="000000"/>
      <w:sz w:val="20"/>
      <w:szCs w:val="20"/>
      <w:u w:val="none"/>
    </w:rPr>
  </w:style>
  <w:style w:type="character" w:customStyle="1" w:styleId="7">
    <w:name w:val="font11"/>
    <w:basedOn w:val="5"/>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2023-12-12T08:46:13Z</dcterms:created>
  <dc:creator>jytwlzx</dc:creator>
  <cp:lastModifiedBy>jytwlzx</cp:lastModifiedBy>
  <dcterms:modified xsi:type="dcterms:W3CDTF">2023-12-12T08:46:40Z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