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2019年度政府信息公开情况统计表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15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110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AngsanaUPC"/>
                <w:sz w:val="32"/>
                <w:szCs w:val="32"/>
              </w:rPr>
            </w:pPr>
            <w:r>
              <w:rPr>
                <w:rFonts w:hint="eastAsia" w:ascii="黑体" w:hAnsi="黑体" w:eastAsia="黑体" w:cs="AngsanaUPC"/>
                <w:sz w:val="32"/>
                <w:szCs w:val="32"/>
              </w:rPr>
              <w:t>统计指标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AngsanaUPC"/>
                <w:sz w:val="32"/>
                <w:szCs w:val="32"/>
              </w:rPr>
            </w:pPr>
            <w:r>
              <w:rPr>
                <w:rFonts w:hint="eastAsia" w:ascii="黑体" w:hAnsi="黑体" w:eastAsia="黑体" w:cs="AngsanaUPC"/>
                <w:sz w:val="32"/>
                <w:szCs w:val="32"/>
              </w:rPr>
              <w:t>单位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AngsanaUPC"/>
                <w:sz w:val="32"/>
                <w:szCs w:val="32"/>
              </w:rPr>
            </w:pPr>
            <w:r>
              <w:rPr>
                <w:rFonts w:hint="eastAsia" w:ascii="黑体" w:hAnsi="黑体" w:eastAsia="黑体" w:cs="AngsanaUPC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AngsanaUPC"/>
                <w:sz w:val="28"/>
                <w:szCs w:val="28"/>
              </w:rPr>
            </w:pPr>
            <w:r>
              <w:rPr>
                <w:rFonts w:hint="eastAsia" w:ascii="黑体" w:hAnsi="黑体" w:eastAsia="黑体" w:cs="AngsanaUPC"/>
                <w:sz w:val="28"/>
                <w:szCs w:val="28"/>
              </w:rPr>
              <w:t>一、信息发布情况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（一）主动公开政府信息数</w:t>
            </w:r>
          </w:p>
          <w:p>
            <w:pPr>
              <w:spacing w:line="400" w:lineRule="exact"/>
              <w:ind w:firstLine="700" w:firstLineChars="25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（二）通过不同渠道和方式公开政府信息的情况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   1.政府公报公开政府信息数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   2.政府网站公开政府信息数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39" w:firstLineChars="15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3.政府微博公开政府信息数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439" w:firstLineChars="15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4.政府微信公开政府信息数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39" w:firstLineChars="15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5.政府客户端公开政府信息数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39" w:firstLineChars="15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6.其它方式公开政府信息数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（三）建议提案办理结果公开情况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   1．人大代表建议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   2.政协提案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（四）政府信息动态管理情况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48" w:firstLineChars="16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1．依申请公开信息转主动公开信息数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48" w:firstLineChars="16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2.解密公开信息数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（五）重大决策预公开情况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06" w:firstLineChars="145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1.重大决策征集公众意见次数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10（网上征集）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71" w:type="dxa"/>
          </w:tcPr>
          <w:p>
            <w:pPr>
              <w:spacing w:line="400" w:lineRule="exact"/>
              <w:ind w:firstLine="420" w:firstLineChars="15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2.公众反馈意见次数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420" w:firstLineChars="15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3.征集到意见数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4.不予采纳意见数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AngsanaUPC"/>
                <w:sz w:val="28"/>
                <w:szCs w:val="28"/>
              </w:rPr>
            </w:pPr>
            <w:r>
              <w:rPr>
                <w:rFonts w:hint="eastAsia" w:ascii="黑体" w:hAnsi="黑体" w:eastAsia="黑体" w:cs="AngsanaUPC"/>
                <w:sz w:val="28"/>
                <w:szCs w:val="28"/>
              </w:rPr>
              <w:t xml:space="preserve">二、回应解读情况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回应公众关注热点或重大 舆情数</w:t>
            </w:r>
          </w:p>
          <w:p>
            <w:pPr>
              <w:spacing w:line="400" w:lineRule="exact"/>
              <w:ind w:left="20" w:firstLine="980" w:firstLineChars="35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（二）通过不同渠道和方式回应解读的情况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   其中：主要负责同志参加新闻发布会次数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2.政府网站在线访谈次数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其中：主要负责同志参加政府网站在线访谈交数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3.主要负责同志解读政策数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4.政策解读稿件发布数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篇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5.微博微信回应事件数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6.其他方式回应事件数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（三）会议开放情况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1.面向公众开放会议次数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2.参会公众代表人数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三、举报投诉数量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件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四、机构建设和保障经费情况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个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个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2.兼职人数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19" w:firstLineChars="7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（四）政务公开监督员情况（各市州、贵安新区填报）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1.本地区政务公开监督员人数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2.开展政务公开监督次数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3.提出意见数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392" w:firstLineChars="14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4.采购意见数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（五）政府信息公开专项经费（不包括用于政府公报编辑管理及政府网站建设维护等方面的经费）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万元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 xml:space="preserve">五、政府信息公开会议和培训情况 </w:t>
            </w:r>
          </w:p>
        </w:tc>
        <w:tc>
          <w:tcPr>
            <w:tcW w:w="1106" w:type="dxa"/>
            <w:tcBorders>
              <w:tr2bl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（二）举办各类培训班数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71" w:type="dxa"/>
          </w:tcPr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（三）接受培训人员数</w:t>
            </w:r>
          </w:p>
        </w:tc>
        <w:tc>
          <w:tcPr>
            <w:tcW w:w="110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人次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AngsanaUPC"/>
                <w:sz w:val="28"/>
                <w:szCs w:val="28"/>
              </w:rPr>
            </w:pPr>
            <w:r>
              <w:rPr>
                <w:rFonts w:hint="eastAsia" w:ascii="仿宋" w:hAnsi="仿宋" w:eastAsia="仿宋" w:cs="AngsanaUPC"/>
                <w:sz w:val="28"/>
                <w:szCs w:val="28"/>
              </w:rPr>
              <w:t>21</w:t>
            </w:r>
          </w:p>
        </w:tc>
      </w:tr>
    </w:tbl>
    <w:p>
      <w:pPr>
        <w:ind w:firstLine="0" w:firstLineChars="0"/>
        <w:jc w:val="both"/>
        <w:rPr>
          <w:rFonts w:ascii="仿宋" w:hAnsi="仿宋" w:eastAsia="仿宋" w:cs="AngsanaUPC"/>
          <w:sz w:val="32"/>
          <w:szCs w:val="32"/>
        </w:rPr>
      </w:pPr>
    </w:p>
    <w:p>
      <w:pPr>
        <w:ind w:firstLine="0" w:firstLineChars="0"/>
        <w:jc w:val="both"/>
        <w:rPr>
          <w:rFonts w:ascii="仿宋" w:hAnsi="仿宋" w:eastAsia="仿宋" w:cs="AngsanaUPC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821"/>
    <w:multiLevelType w:val="multilevel"/>
    <w:tmpl w:val="01914821"/>
    <w:lvl w:ilvl="0" w:tentative="0">
      <w:start w:val="1"/>
      <w:numFmt w:val="japaneseCounting"/>
      <w:lvlText w:val="（%1）"/>
      <w:lvlJc w:val="left"/>
      <w:pPr>
        <w:ind w:left="90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0" w:hanging="420"/>
      </w:pPr>
    </w:lvl>
    <w:lvl w:ilvl="2" w:tentative="0">
      <w:start w:val="1"/>
      <w:numFmt w:val="lowerRoman"/>
      <w:lvlText w:val="%3."/>
      <w:lvlJc w:val="right"/>
      <w:pPr>
        <w:ind w:left="1280" w:hanging="420"/>
      </w:pPr>
    </w:lvl>
    <w:lvl w:ilvl="3" w:tentative="0">
      <w:start w:val="1"/>
      <w:numFmt w:val="decimal"/>
      <w:lvlText w:val="%4."/>
      <w:lvlJc w:val="left"/>
      <w:pPr>
        <w:ind w:left="1700" w:hanging="420"/>
      </w:pPr>
    </w:lvl>
    <w:lvl w:ilvl="4" w:tentative="0">
      <w:start w:val="1"/>
      <w:numFmt w:val="lowerLetter"/>
      <w:lvlText w:val="%5)"/>
      <w:lvlJc w:val="left"/>
      <w:pPr>
        <w:ind w:left="2120" w:hanging="420"/>
      </w:pPr>
    </w:lvl>
    <w:lvl w:ilvl="5" w:tentative="0">
      <w:start w:val="1"/>
      <w:numFmt w:val="lowerRoman"/>
      <w:lvlText w:val="%6."/>
      <w:lvlJc w:val="right"/>
      <w:pPr>
        <w:ind w:left="2540" w:hanging="420"/>
      </w:pPr>
    </w:lvl>
    <w:lvl w:ilvl="6" w:tentative="0">
      <w:start w:val="1"/>
      <w:numFmt w:val="decimal"/>
      <w:lvlText w:val="%7."/>
      <w:lvlJc w:val="left"/>
      <w:pPr>
        <w:ind w:left="2960" w:hanging="420"/>
      </w:pPr>
    </w:lvl>
    <w:lvl w:ilvl="7" w:tentative="0">
      <w:start w:val="1"/>
      <w:numFmt w:val="lowerLetter"/>
      <w:lvlText w:val="%8)"/>
      <w:lvlJc w:val="left"/>
      <w:pPr>
        <w:ind w:left="3380" w:hanging="420"/>
      </w:pPr>
    </w:lvl>
    <w:lvl w:ilvl="8" w:tentative="0">
      <w:start w:val="1"/>
      <w:numFmt w:val="lowerRoman"/>
      <w:lvlText w:val="%9."/>
      <w:lvlJc w:val="righ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72"/>
    <w:rsid w:val="00014F8E"/>
    <w:rsid w:val="000702D6"/>
    <w:rsid w:val="00110E84"/>
    <w:rsid w:val="00132BF9"/>
    <w:rsid w:val="001C2521"/>
    <w:rsid w:val="00307E72"/>
    <w:rsid w:val="003139B8"/>
    <w:rsid w:val="00374D03"/>
    <w:rsid w:val="003C11C2"/>
    <w:rsid w:val="004F5952"/>
    <w:rsid w:val="00561979"/>
    <w:rsid w:val="006444A1"/>
    <w:rsid w:val="006F012A"/>
    <w:rsid w:val="007E3FF0"/>
    <w:rsid w:val="0081006A"/>
    <w:rsid w:val="008652FA"/>
    <w:rsid w:val="008664F0"/>
    <w:rsid w:val="008C327D"/>
    <w:rsid w:val="00A7688F"/>
    <w:rsid w:val="00B64694"/>
    <w:rsid w:val="00C30AA0"/>
    <w:rsid w:val="00C91885"/>
    <w:rsid w:val="00CA66A7"/>
    <w:rsid w:val="00D64809"/>
    <w:rsid w:val="00DC5155"/>
    <w:rsid w:val="00E42AAA"/>
    <w:rsid w:val="00FD285A"/>
    <w:rsid w:val="15D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11">
    <w:name w:val="No Spacing"/>
    <w:qFormat/>
    <w:uiPriority w:val="1"/>
    <w:pPr>
      <w:widowControl w:val="0"/>
      <w:ind w:firstLine="21" w:firstLineChars="200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8"/>
    <w:link w:val="5"/>
    <w:qFormat/>
    <w:uiPriority w:val="99"/>
    <w:rPr>
      <w:kern w:val="0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38</TotalTime>
  <ScaleCrop>false</ScaleCrop>
  <LinksUpToDate>false</LinksUpToDate>
  <CharactersWithSpaces>1091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2020-01-02T03:01:00Z</dcterms:created>
  <dc:creator>GTEDU</dc:creator>
  <cp:lastModifiedBy>Lenovo</cp:lastModifiedBy>
  <dcterms:modified xsi:type="dcterms:W3CDTF">2020-01-20T10:31:43Z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