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spacing w:before="0" w:beforeAutospacing="0" w:after="0" w:afterAutospacing="0" w:line="560" w:lineRule="exact"/>
        <w:ind w:right="0"/>
        <w:jc w:val="center"/>
        <w:textAlignment w:val="baseline"/>
        <w:outlineLvl w:val="1"/>
        <w:rPr>
          <w:rStyle w:val="7"/>
          <w:rFonts w:ascii="方正小标宋简体" w:hAnsi="方正小标宋简体" w:eastAsia="方正小标宋简体"/>
          <w:b w:val="0"/>
          <w:i w:val="0"/>
          <w:caps w:val="0"/>
          <w:color w:val="333333"/>
          <w:spacing w:val="0"/>
          <w:w w:val="100"/>
          <w:kern w:val="0"/>
          <w:sz w:val="44"/>
          <w:szCs w:val="44"/>
          <w:lang w:val="en-US" w:eastAsia="zh-CN" w:bidi="ar-SA"/>
        </w:rPr>
      </w:pPr>
      <w:r>
        <w:rPr>
          <w:rStyle w:val="7"/>
          <w:rFonts w:ascii="方正小标宋简体" w:hAnsi="方正小标宋简体" w:eastAsia="方正小标宋简体"/>
          <w:b w:val="0"/>
          <w:i w:val="0"/>
          <w:caps w:val="0"/>
          <w:color w:val="333333"/>
          <w:spacing w:val="0"/>
          <w:w w:val="100"/>
          <w:kern w:val="0"/>
          <w:sz w:val="44"/>
          <w:szCs w:val="44"/>
          <w:lang w:val="en-US" w:eastAsia="zh-CN" w:bidi="ar-SA"/>
        </w:rPr>
        <w:t>贵州省推进一流大学建设管理办法</w:t>
      </w:r>
    </w:p>
    <w:p>
      <w:pPr>
        <w:widowControl/>
        <w:shd w:val="clear" w:color="auto" w:fill="FFFFFF"/>
        <w:snapToGrid/>
        <w:spacing w:before="0" w:beforeAutospacing="0" w:after="0" w:afterAutospacing="0" w:line="560" w:lineRule="exact"/>
        <w:ind w:left="0" w:leftChars="0" w:right="0" w:firstLineChars="0"/>
        <w:jc w:val="center"/>
        <w:textAlignment w:val="baseline"/>
        <w:outlineLvl w:val="1"/>
        <w:rPr>
          <w:rStyle w:val="7"/>
          <w:rFonts w:ascii="方正小标宋简体" w:hAnsi="方正小标宋简体" w:eastAsia="方正小标宋简体"/>
          <w:b w:val="0"/>
          <w:i w:val="0"/>
          <w:caps w:val="0"/>
          <w:color w:val="333333"/>
          <w:spacing w:val="0"/>
          <w:w w:val="100"/>
          <w:kern w:val="0"/>
          <w:sz w:val="44"/>
          <w:szCs w:val="44"/>
          <w:lang w:val="en-US" w:eastAsia="zh-CN" w:bidi="ar-SA"/>
        </w:rPr>
      </w:pPr>
      <w:r>
        <w:rPr>
          <w:rStyle w:val="7"/>
          <w:rFonts w:ascii="方正小标宋简体" w:hAnsi="方正小标宋简体" w:eastAsia="方正小标宋简体"/>
          <w:b w:val="0"/>
          <w:i w:val="0"/>
          <w:caps w:val="0"/>
          <w:color w:val="333333"/>
          <w:spacing w:val="0"/>
          <w:w w:val="100"/>
          <w:kern w:val="0"/>
          <w:sz w:val="44"/>
          <w:szCs w:val="44"/>
          <w:lang w:val="en-US" w:eastAsia="zh-CN" w:bidi="ar-SA"/>
        </w:rPr>
        <w:t>（暂行）</w:t>
      </w:r>
    </w:p>
    <w:p>
      <w:pPr>
        <w:widowControl/>
        <w:shd w:val="clear" w:color="auto" w:fill="FFFFFF"/>
        <w:snapToGrid/>
        <w:spacing w:before="0" w:beforeAutospacing="0" w:after="0" w:afterAutospacing="0" w:line="560" w:lineRule="exact"/>
        <w:ind w:left="0" w:leftChars="0" w:right="0" w:firstLineChars="0"/>
        <w:jc w:val="center"/>
        <w:textAlignment w:val="baseline"/>
        <w:rPr>
          <w:rStyle w:val="7"/>
          <w:rFonts w:ascii="黑体" w:hAnsi="黑体" w:eastAsia="黑体"/>
          <w:b/>
          <w:i w:val="0"/>
          <w:caps w:val="0"/>
          <w:color w:val="000000"/>
          <w:spacing w:val="0"/>
          <w:w w:val="100"/>
          <w:kern w:val="2"/>
          <w:sz w:val="32"/>
          <w:szCs w:val="32"/>
          <w:lang w:val="en-US" w:eastAsia="zh-CN" w:bidi="ar-SA"/>
        </w:rPr>
      </w:pPr>
      <w:bookmarkStart w:id="0" w:name="_GoBack"/>
      <w:bookmarkEnd w:id="0"/>
    </w:p>
    <w:p>
      <w:pPr>
        <w:widowControl/>
        <w:shd w:val="clear" w:color="auto" w:fill="FFFFFF"/>
        <w:snapToGrid/>
        <w:spacing w:before="0" w:beforeAutospacing="0" w:after="0" w:afterAutospacing="0" w:line="520" w:lineRule="exact"/>
        <w:ind w:left="0" w:leftChars="0" w:right="0" w:firstLineChars="0"/>
        <w:jc w:val="center"/>
        <w:textAlignment w:val="baseline"/>
        <w:outlineLvl w:val="0"/>
        <w:rPr>
          <w:rStyle w:val="7"/>
          <w:rFonts w:ascii="黑体" w:hAnsi="黑体" w:eastAsia="黑体"/>
          <w:b w:val="0"/>
          <w:i w:val="0"/>
          <w:caps w:val="0"/>
          <w:color w:val="333333"/>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第一章 总  则</w:t>
      </w:r>
    </w:p>
    <w:p>
      <w:pPr>
        <w:snapToGrid w:val="0"/>
        <w:spacing w:before="0" w:beforeAutospacing="0" w:after="0" w:afterAutospacing="0" w:line="520" w:lineRule="exact"/>
        <w:ind w:left="0" w:leftChars="0" w:right="0" w:firstLine="0"/>
        <w:jc w:val="both"/>
        <w:textAlignment w:val="baseline"/>
        <w:rPr>
          <w:rStyle w:val="7"/>
          <w:rFonts w:ascii="仿宋" w:hAnsi="仿宋" w:eastAsia="仿宋"/>
          <w:b w:val="0"/>
          <w:i w:val="0"/>
          <w:caps w:val="0"/>
          <w:color w:val="333333"/>
          <w:spacing w:val="0"/>
          <w:w w:val="100"/>
          <w:kern w:val="2"/>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w:t>
      </w:r>
      <w:r>
        <w:rPr>
          <w:rStyle w:val="7"/>
          <w:rFonts w:ascii="黑体" w:hAnsi="黑体" w:eastAsia="黑体"/>
          <w:b w:val="0"/>
          <w:i w:val="0"/>
          <w:caps w:val="0"/>
          <w:color w:val="333333"/>
          <w:spacing w:val="0"/>
          <w:w w:val="100"/>
          <w:kern w:val="0"/>
          <w:sz w:val="32"/>
          <w:szCs w:val="32"/>
          <w:lang w:val="en-US" w:eastAsia="zh-CN" w:bidi="ar-SA"/>
        </w:rPr>
        <w:t xml:space="preserve"> 第一条 </w:t>
      </w:r>
      <w:r>
        <w:rPr>
          <w:rStyle w:val="7"/>
          <w:rFonts w:ascii="仿宋" w:hAnsi="仿宋" w:eastAsia="仿宋"/>
          <w:b w:val="0"/>
          <w:i w:val="0"/>
          <w:caps w:val="0"/>
          <w:color w:val="333333"/>
          <w:spacing w:val="0"/>
          <w:w w:val="100"/>
          <w:kern w:val="0"/>
          <w:sz w:val="32"/>
          <w:szCs w:val="32"/>
          <w:lang w:val="en-US" w:eastAsia="zh-CN" w:bidi="ar-SA"/>
        </w:rPr>
        <w:t>为</w:t>
      </w:r>
      <w:r>
        <w:rPr>
          <w:rStyle w:val="7"/>
          <w:rFonts w:ascii="仿宋" w:hAnsi="仿宋" w:eastAsia="仿宋"/>
          <w:b w:val="0"/>
          <w:i w:val="0"/>
          <w:caps w:val="0"/>
          <w:spacing w:val="0"/>
          <w:w w:val="100"/>
          <w:kern w:val="2"/>
          <w:sz w:val="32"/>
          <w:szCs w:val="32"/>
          <w:lang w:val="en-US" w:eastAsia="zh-CN" w:bidi="ar-SA"/>
        </w:rPr>
        <w:t>深入贯彻习近平新时代中国特色社会主义思想和党的十九大精神，全面贯彻落实全国和全省教育大会精神，紧紧围绕全面提高人才培养能力这个核心点，</w:t>
      </w:r>
      <w:r>
        <w:rPr>
          <w:rStyle w:val="7"/>
          <w:rFonts w:ascii="仿宋" w:hAnsi="仿宋" w:eastAsia="仿宋"/>
          <w:b w:val="0"/>
          <w:i w:val="0"/>
          <w:caps w:val="0"/>
          <w:color w:val="333333"/>
          <w:spacing w:val="0"/>
          <w:w w:val="100"/>
          <w:kern w:val="2"/>
          <w:sz w:val="32"/>
          <w:szCs w:val="32"/>
          <w:lang w:val="en-US" w:eastAsia="zh-CN" w:bidi="ar-SA"/>
        </w:rPr>
        <w:t>实现高等教育内涵式发展，</w:t>
      </w:r>
      <w:r>
        <w:rPr>
          <w:rStyle w:val="7"/>
          <w:rFonts w:ascii="仿宋" w:hAnsi="仿宋" w:eastAsia="仿宋"/>
          <w:b w:val="0"/>
          <w:i w:val="0"/>
          <w:caps w:val="0"/>
          <w:spacing w:val="0"/>
          <w:w w:val="100"/>
          <w:kern w:val="2"/>
          <w:sz w:val="32"/>
          <w:szCs w:val="32"/>
          <w:lang w:val="en-US" w:eastAsia="zh-CN" w:bidi="ar-SA"/>
        </w:rPr>
        <w:t>培养德智体美劳全面发展的社会主义建设者和接班人，努力走出一条有贵州特色的一流大学建设之路，</w:t>
      </w:r>
      <w:r>
        <w:rPr>
          <w:rStyle w:val="7"/>
          <w:rFonts w:ascii="仿宋" w:hAnsi="仿宋" w:eastAsia="仿宋"/>
          <w:b w:val="0"/>
          <w:i w:val="0"/>
          <w:caps w:val="0"/>
          <w:color w:val="333333"/>
          <w:spacing w:val="0"/>
          <w:w w:val="100"/>
          <w:kern w:val="2"/>
          <w:sz w:val="32"/>
          <w:szCs w:val="32"/>
          <w:lang w:val="en-US" w:eastAsia="zh-CN" w:bidi="ar-SA"/>
        </w:rPr>
        <w:t>根据</w:t>
      </w:r>
      <w:r>
        <w:rPr>
          <w:rStyle w:val="7"/>
          <w:rFonts w:ascii="仿宋" w:hAnsi="仿宋" w:eastAsia="仿宋"/>
          <w:b w:val="0"/>
          <w:i w:val="0"/>
          <w:caps w:val="0"/>
          <w:color w:val="333333"/>
          <w:spacing w:val="0"/>
          <w:w w:val="100"/>
          <w:kern w:val="0"/>
          <w:sz w:val="32"/>
          <w:szCs w:val="32"/>
          <w:lang w:val="en-US" w:eastAsia="zh-CN" w:bidi="ar-SA"/>
        </w:rPr>
        <w:t>国务院《统筹推进世界一流大学和一流学科建设总体方案》，教育部等三部委《统筹推进世界一流大学和一流学科建设实施办法（暂行）》，省人民政府《关于统筹推进一流大学和一流学科建设的意见》以及《贵州省推进教育现代化建设特色教育强省实施纲要2018-2027》等文件精神，制定本办法。</w:t>
      </w:r>
    </w:p>
    <w:p>
      <w:pPr>
        <w:widowControl/>
        <w:shd w:val="clear" w:color="auto" w:fill="FFFFFF"/>
        <w:snapToGrid w:val="0"/>
        <w:spacing w:before="0" w:beforeAutospacing="0" w:after="0" w:afterAutospacing="0" w:line="520" w:lineRule="exact"/>
        <w:ind w:left="0" w:leftChars="0" w:right="0" w:firstLine="640"/>
        <w:jc w:val="both"/>
        <w:textAlignment w:val="baseline"/>
        <w:rPr>
          <w:rStyle w:val="7"/>
          <w:rFonts w:ascii="黑体" w:hAnsi="黑体" w:eastAsia="黑体"/>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第二条 </w:t>
      </w:r>
      <w:r>
        <w:rPr>
          <w:rStyle w:val="7"/>
          <w:rFonts w:ascii="仿宋" w:hAnsi="仿宋" w:eastAsia="仿宋"/>
          <w:b w:val="0"/>
          <w:i w:val="0"/>
          <w:caps w:val="0"/>
          <w:color w:val="333333"/>
          <w:spacing w:val="0"/>
          <w:w w:val="100"/>
          <w:kern w:val="0"/>
          <w:sz w:val="32"/>
          <w:szCs w:val="32"/>
          <w:lang w:val="en-US" w:eastAsia="zh-CN" w:bidi="ar-SA"/>
        </w:rPr>
        <w:t>贵州省一流大学建设目标是：通过持续重点支持，引领推动一批高校进入区域内同层次、同类型一流高校行列,重点扶持1所高校进入国家一流大学行列。高校人才培养、科学研究、社会服务、文化传承与创新的整体水平不断提升,创新型人才培养体系和科技创新服务体系进一步完善,服务经济社会发展的能力更加突出,高等教育核心竞争力显著加强,打造高等教育的贵州品牌。</w:t>
      </w:r>
    </w:p>
    <w:p>
      <w:pPr>
        <w:widowControl/>
        <w:shd w:val="clear" w:color="auto" w:fill="FFFFFF"/>
        <w:snapToGrid w:val="0"/>
        <w:spacing w:before="0" w:beforeAutospacing="0" w:after="0" w:afterAutospacing="0" w:line="520" w:lineRule="exact"/>
        <w:ind w:firstLine="64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第三条 </w:t>
      </w:r>
      <w:r>
        <w:rPr>
          <w:rStyle w:val="7"/>
          <w:rFonts w:ascii="仿宋" w:hAnsi="仿宋" w:eastAsia="仿宋"/>
          <w:b w:val="0"/>
          <w:i w:val="0"/>
          <w:caps w:val="0"/>
          <w:color w:val="333333"/>
          <w:spacing w:val="0"/>
          <w:w w:val="100"/>
          <w:kern w:val="0"/>
          <w:sz w:val="32"/>
          <w:szCs w:val="32"/>
          <w:lang w:val="en-US" w:eastAsia="zh-CN" w:bidi="ar-SA"/>
        </w:rPr>
        <w:t>加强总体规划，坚持扶优扶需扶特扶新，重点支持贵州大学创建国内一流大学；按照省人民政府提出的“一校一策”原则，引导和支持各高校合理定位、办出特色、差别化发展。</w:t>
      </w:r>
    </w:p>
    <w:p>
      <w:pPr>
        <w:widowControl/>
        <w:numPr>
          <w:ilvl w:val="0"/>
          <w:numId w:val="1"/>
        </w:numPr>
        <w:shd w:val="clear" w:color="auto" w:fill="FFFFFF"/>
        <w:snapToGrid w:val="0"/>
        <w:spacing w:before="0" w:beforeAutospacing="0" w:after="0" w:afterAutospacing="0" w:line="520" w:lineRule="exact"/>
        <w:ind w:left="0" w:leftChars="0" w:right="0"/>
        <w:jc w:val="center"/>
        <w:textAlignment w:val="baseline"/>
        <w:outlineLvl w:val="0"/>
        <w:rPr>
          <w:rStyle w:val="7"/>
          <w:rFonts w:ascii="黑体" w:hAnsi="黑体" w:eastAsia="黑体"/>
          <w:b/>
          <w:i w:val="0"/>
          <w:caps w:val="0"/>
          <w:color w:val="000000"/>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建设条件</w:t>
      </w:r>
    </w:p>
    <w:p>
      <w:pPr>
        <w:pStyle w:val="41"/>
        <w:widowControl/>
        <w:pBdr>
          <w:top w:val="none" w:color="auto" w:sz="0" w:space="0"/>
          <w:left w:val="none" w:color="auto" w:sz="0" w:space="0"/>
          <w:bottom w:val="none" w:color="auto" w:sz="0" w:space="0"/>
          <w:right w:val="none" w:color="auto" w:sz="0" w:space="0"/>
        </w:pBdr>
        <w:snapToGrid w:val="0"/>
        <w:spacing w:before="0" w:beforeAutospacing="1" w:after="0" w:afterAutospacing="1" w:line="520" w:lineRule="exact"/>
        <w:ind w:left="0" w:leftChars="0" w:right="0" w:firstLine="640" w:firstLineChars="200"/>
        <w:jc w:val="both"/>
        <w:textAlignment w:val="baseline"/>
        <w:rPr>
          <w:rStyle w:val="7"/>
          <w:rFonts w:ascii="仿宋" w:hAnsi="仿宋" w:eastAsia="仿宋"/>
          <w:b w:val="0"/>
          <w:bCs w:val="0"/>
          <w:i w:val="0"/>
          <w:caps w:val="0"/>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第四条  </w:t>
      </w:r>
      <w:r>
        <w:rPr>
          <w:rStyle w:val="7"/>
          <w:rFonts w:ascii="仿宋" w:hAnsi="仿宋" w:eastAsia="仿宋"/>
          <w:b w:val="0"/>
          <w:i w:val="0"/>
          <w:caps w:val="0"/>
          <w:color w:val="333333"/>
          <w:spacing w:val="0"/>
          <w:w w:val="100"/>
          <w:kern w:val="0"/>
          <w:sz w:val="32"/>
          <w:szCs w:val="32"/>
          <w:lang w:val="en-US" w:eastAsia="zh-CN" w:bidi="ar-SA"/>
        </w:rPr>
        <w:t>一流大学建设高校应具有先进办学理念，办学实力强、社会认可度高，拥有一定数量</w:t>
      </w:r>
      <w:r>
        <w:rPr>
          <w:rStyle w:val="7"/>
          <w:rFonts w:ascii="仿宋" w:hAnsi="仿宋" w:eastAsia="仿宋"/>
          <w:b w:val="0"/>
          <w:i w:val="0"/>
          <w:iCs/>
          <w:caps w:val="0"/>
          <w:color w:val="333333"/>
          <w:spacing w:val="0"/>
          <w:w w:val="100"/>
          <w:kern w:val="0"/>
          <w:sz w:val="32"/>
          <w:szCs w:val="32"/>
          <w:lang w:val="en-US" w:eastAsia="zh-CN" w:bidi="ar-SA"/>
        </w:rPr>
        <w:t>区域内领先、国内</w:t>
      </w:r>
      <w:r>
        <w:rPr>
          <w:rStyle w:val="7"/>
          <w:rFonts w:ascii="仿宋" w:hAnsi="仿宋" w:eastAsia="仿宋"/>
          <w:b w:val="0"/>
          <w:i w:val="0"/>
          <w:caps w:val="0"/>
          <w:color w:val="333333"/>
          <w:spacing w:val="0"/>
          <w:w w:val="100"/>
          <w:kern w:val="0"/>
          <w:sz w:val="32"/>
          <w:szCs w:val="32"/>
          <w:lang w:val="en-US" w:eastAsia="zh-CN" w:bidi="ar-SA"/>
        </w:rPr>
        <w:t>前列的高水平学科专业，在教育改革创新和现代大学制度建设中成效显著，</w:t>
      </w:r>
      <w:r>
        <w:rPr>
          <w:rStyle w:val="7"/>
          <w:rFonts w:ascii="仿宋" w:hAnsi="仿宋" w:eastAsia="仿宋"/>
          <w:b w:val="0"/>
          <w:bCs w:val="0"/>
          <w:i w:val="0"/>
          <w:caps w:val="0"/>
          <w:spacing w:val="0"/>
          <w:w w:val="100"/>
          <w:kern w:val="0"/>
          <w:sz w:val="32"/>
          <w:szCs w:val="32"/>
          <w:lang w:val="en-US" w:eastAsia="zh-CN" w:bidi="ar-SA"/>
        </w:rPr>
        <w:t>为各行各业培养领军人才和拔尖创新人才，原创性的科学研究成果丰硕，对服务经济社会发展和文化传承产生重要影响。</w:t>
      </w:r>
    </w:p>
    <w:p>
      <w:pPr>
        <w:pStyle w:val="41"/>
        <w:widowControl/>
        <w:pBdr>
          <w:top w:val="none" w:color="auto" w:sz="0" w:space="0"/>
          <w:left w:val="none" w:color="auto" w:sz="0" w:space="0"/>
          <w:bottom w:val="none" w:color="auto" w:sz="0" w:space="0"/>
          <w:right w:val="none" w:color="auto" w:sz="0" w:space="0"/>
        </w:pBdr>
        <w:snapToGrid w:val="0"/>
        <w:spacing w:before="0" w:beforeAutospacing="1" w:after="0" w:afterAutospacing="1" w:line="520" w:lineRule="exact"/>
        <w:ind w:left="0" w:leftChars="0" w:right="0" w:firstLine="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人才培养方面，人才培养目标定位准确，遵循教育教学规律，构建先进的人才培养和质量保障体系；坚持立德树人，将培育和践行社会主义核心价值观贯穿人才培养全过程，增强专业课的育人功能，资源配置、政策导向服务于人才培养的核心地位；积极推进课程体系和教学内容改革，教学成果丰硕；坚持促进学生全面发展，有高质量的本科生教育，人才培养质量得到社会高度认可。</w:t>
      </w:r>
    </w:p>
    <w:p>
      <w:pPr>
        <w:pStyle w:val="26"/>
        <w:widowControl/>
        <w:snapToGrid w:val="0"/>
        <w:spacing w:before="0" w:beforeAutospacing="0" w:after="0" w:afterAutospacing="0" w:line="520" w:lineRule="exact"/>
        <w:ind w:left="0" w:leftChars="0" w:right="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科学研究方面，科研组织和科研机制健全，协同创新成效显著，以国家和省重大需求为导向，以区域重大创新任务为牵引，为解决经济社会发展重大理论和现实问题提供有效支撑，应用研究成果丰硕。</w:t>
      </w:r>
    </w:p>
    <w:p>
      <w:pPr>
        <w:snapToGrid w:val="0"/>
        <w:spacing w:before="0" w:beforeAutospacing="0" w:after="0" w:afterAutospacing="0" w:line="520" w:lineRule="exact"/>
        <w:ind w:left="0" w:leftChars="0" w:right="0" w:firstLine="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社会服务方面，立足经济社会发展重大需求和自身发展需要,强化战略导向、问题导向和需求导向，产学研深度融合，实现合作办学、合作育人、合作发展，强化优质资源向企业和社会开放共享,建立结合紧密的成果转化机制。</w:t>
      </w:r>
    </w:p>
    <w:p>
      <w:pPr>
        <w:widowControl/>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文化传承创新方面，传承弘扬中华优秀传统文化，推动社会主义先进文化建设成效显著；增强文化自信，具有较强的文化传播影响力；具有师生认同的优秀教风学风校风，具有广阔的文化视野和强大的文化创新能力，形成引领社会进步、特色鲜明的大学精神和大学文化。</w:t>
      </w:r>
    </w:p>
    <w:p>
      <w:pPr>
        <w:widowControl/>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师资队伍建设方面，教师队伍政治素质强，整体水平高，潜心教书育人，师德师风优良；一线教师普遍掌握先进的教育理念和方法，教学经验丰富，教学效果良好；有一批活跃在学术前沿的专家、学科领军人物和创新团队。</w:t>
      </w:r>
    </w:p>
    <w:p>
      <w:pPr>
        <w:snapToGrid w:val="0"/>
        <w:spacing w:before="0" w:beforeAutospacing="0" w:after="0" w:afterAutospacing="0" w:line="520" w:lineRule="exact"/>
        <w:ind w:left="0" w:leftChars="0" w:right="0" w:firstLine="64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国际交流合作方面，大力实施“走出去”与“引进来”战略,开展多形式、多层次、多领域、全方位的合作与交流。认真吸收借鉴国内外高校先进办学经验,充分利用中国—东盟教育交流周平台和对口帮扶资源，构建协同发展长效机制。</w:t>
      </w:r>
    </w:p>
    <w:p>
      <w:pPr>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2"/>
          <w:sz w:val="32"/>
          <w:szCs w:val="32"/>
          <w:lang w:val="en-US" w:eastAsia="zh-CN" w:bidi="ar-SA"/>
        </w:rPr>
        <w:t>第五条</w:t>
      </w:r>
      <w:r>
        <w:rPr>
          <w:rStyle w:val="7"/>
          <w:rFonts w:ascii="仿宋" w:hAnsi="仿宋" w:eastAsia="仿宋"/>
          <w:b w:val="0"/>
          <w:i w:val="0"/>
          <w:caps w:val="0"/>
          <w:color w:val="333333"/>
          <w:spacing w:val="0"/>
          <w:w w:val="100"/>
          <w:kern w:val="2"/>
          <w:sz w:val="32"/>
          <w:szCs w:val="32"/>
          <w:lang w:val="en-US" w:eastAsia="zh-CN" w:bidi="ar-SA"/>
        </w:rPr>
        <w:t xml:space="preserve"> </w:t>
      </w:r>
      <w:r>
        <w:rPr>
          <w:rStyle w:val="7"/>
          <w:rFonts w:ascii="仿宋" w:hAnsi="仿宋" w:eastAsia="仿宋"/>
          <w:b w:val="0"/>
          <w:i w:val="0"/>
          <w:caps w:val="0"/>
          <w:color w:val="333333"/>
          <w:spacing w:val="0"/>
          <w:w w:val="100"/>
          <w:kern w:val="0"/>
          <w:sz w:val="32"/>
          <w:szCs w:val="32"/>
          <w:lang w:val="en-US" w:eastAsia="zh-CN" w:bidi="ar-SA"/>
        </w:rPr>
        <w:t>各校需深入分析学校以及学科专业建设基础、优势特色和发展瓶颈，结合经济社会发展需求和学校发展定位，以创建一流大学为目标，以提升实力为核心，以立德树人为根本，以内涵建设、提高质量为主线，以国家和贵州重大发展战略需求为导向，以制度创新、绩效奖励为杠杆，研究制订本校《一流大学建设方案》，细化量化建设目标、任务措施、进度安排、预期绩效和资金使用规划，明确各项任务的负责人和具体团队，确保建设工作取得实效。</w:t>
      </w:r>
    </w:p>
    <w:p>
      <w:pPr>
        <w:pStyle w:val="41"/>
        <w:pBdr>
          <w:top w:val="none" w:color="auto" w:sz="0" w:space="0"/>
          <w:left w:val="none" w:color="auto" w:sz="0" w:space="0"/>
          <w:bottom w:val="none" w:color="auto" w:sz="0" w:space="0"/>
          <w:right w:val="none" w:color="auto" w:sz="0" w:space="0"/>
        </w:pBdr>
        <w:snapToGrid w:val="0"/>
        <w:spacing w:before="0" w:beforeAutospacing="1" w:after="0" w:afterAutospacing="1" w:line="520" w:lineRule="exact"/>
        <w:ind w:left="0" w:leftChars="0" w:right="0" w:firstLine="0"/>
        <w:jc w:val="both"/>
        <w:textAlignment w:val="baseline"/>
        <w:rPr>
          <w:rStyle w:val="7"/>
          <w:rFonts w:ascii="黑体" w:hAnsi="黑体" w:eastAsia="黑体"/>
          <w:b/>
          <w:i w:val="0"/>
          <w:caps w:val="0"/>
          <w:color w:val="000000"/>
          <w:spacing w:val="0"/>
          <w:w w:val="100"/>
          <w:kern w:val="2"/>
          <w:sz w:val="32"/>
          <w:szCs w:val="32"/>
          <w:lang w:val="en-US" w:eastAsia="zh-CN" w:bidi="ar-SA"/>
        </w:rPr>
      </w:pPr>
      <w:r>
        <w:rPr>
          <w:rStyle w:val="6"/>
          <w:rFonts w:ascii="仿宋" w:hAnsi="仿宋" w:eastAsia="仿宋"/>
          <w:b w:val="0"/>
          <w:bCs w:val="0"/>
          <w:i w:val="0"/>
          <w:caps w:val="0"/>
          <w:color w:val="646464"/>
          <w:spacing w:val="0"/>
          <w:w w:val="100"/>
          <w:kern w:val="0"/>
          <w:sz w:val="32"/>
          <w:szCs w:val="32"/>
          <w:lang w:val="en-US" w:eastAsia="zh-CN" w:bidi="ar-SA"/>
        </w:rPr>
        <w:t xml:space="preserve"> </w:t>
      </w:r>
      <w:r>
        <w:rPr>
          <w:rStyle w:val="6"/>
          <w:rFonts w:ascii="黑体" w:hAnsi="黑体" w:eastAsia="黑体"/>
          <w:b w:val="0"/>
          <w:bCs w:val="0"/>
          <w:i w:val="0"/>
          <w:caps w:val="0"/>
          <w:color w:val="646464"/>
          <w:spacing w:val="0"/>
          <w:w w:val="100"/>
          <w:kern w:val="0"/>
          <w:sz w:val="32"/>
          <w:szCs w:val="32"/>
          <w:lang w:val="en-US" w:eastAsia="zh-CN" w:bidi="ar-SA"/>
        </w:rPr>
        <w:t xml:space="preserve">   </w:t>
      </w:r>
    </w:p>
    <w:p>
      <w:pPr>
        <w:pStyle w:val="41"/>
        <w:widowControl/>
        <w:numPr>
          <w:ilvl w:val="0"/>
          <w:numId w:val="1"/>
        </w:numPr>
        <w:snapToGrid w:val="0"/>
        <w:spacing w:before="0" w:beforeAutospacing="1" w:after="0" w:afterAutospacing="1" w:line="520" w:lineRule="exact"/>
        <w:ind w:left="0" w:leftChars="0" w:right="0" w:firstLine="0"/>
        <w:jc w:val="center"/>
        <w:textAlignment w:val="baseline"/>
        <w:outlineLvl w:val="0"/>
        <w:rPr>
          <w:rStyle w:val="7"/>
          <w:rFonts w:ascii="黑体" w:hAnsi="黑体" w:eastAsia="黑体"/>
          <w:b/>
          <w:i w:val="0"/>
          <w:caps w:val="0"/>
          <w:color w:val="000000"/>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管理实施</w:t>
      </w:r>
    </w:p>
    <w:p>
      <w:pPr>
        <w:widowControl/>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 第六条</w:t>
      </w:r>
      <w:r>
        <w:rPr>
          <w:rStyle w:val="7"/>
          <w:rFonts w:ascii="仿宋" w:hAnsi="仿宋" w:eastAsia="仿宋"/>
          <w:b w:val="0"/>
          <w:i w:val="0"/>
          <w:caps w:val="0"/>
          <w:color w:val="333333"/>
          <w:spacing w:val="0"/>
          <w:w w:val="100"/>
          <w:kern w:val="0"/>
          <w:sz w:val="32"/>
          <w:szCs w:val="32"/>
          <w:lang w:val="en-US" w:eastAsia="zh-CN" w:bidi="ar-SA"/>
        </w:rPr>
        <w:t xml:space="preserve"> 贵州省一流大学建设以项目库建设为抓手，重点立项建设专业、平台、课程和师资团队项目，对项目实行长期规划、动态管理、分段实施和考评验收管理，以此推动我省高校内涵式发展。</w:t>
      </w:r>
    </w:p>
    <w:p>
      <w:pPr>
        <w:widowControl/>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专业重点建设项目：重点建设一批具有较好办学基础、服务经济社会发展急需的专业，使其在发挥优势和特色办学方面取得重大突破，部分专业达到区域或国内一流水平。强化专业内涵建设，提升专业建设水平。</w:t>
      </w:r>
    </w:p>
    <w:p>
      <w:pPr>
        <w:pStyle w:val="41"/>
        <w:widowControl/>
        <w:snapToGrid w:val="0"/>
        <w:spacing w:before="0" w:beforeAutospacing="1" w:after="0" w:afterAutospacing="1" w:line="520" w:lineRule="exact"/>
        <w:ind w:left="0" w:leftChars="0" w:right="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平台重点建设项目：聚焦国家人才战略和社会发展需求，紧扣高校人才培养目标，开展实验教学研究，创新实验室管理机制，建设功能集约、资源共享、运行高效的专业类或跨专业类实验教学平台、基础实验室、实践平台、创新创业训练中心等，探索引领实验教学改革方向，共享优质实验教学资源，以高水平实验教学支撑高质量人才培养。</w:t>
      </w:r>
    </w:p>
    <w:p>
      <w:pPr>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课程重点建设项目：深化课程改革，聚焦课程改革的关</w:t>
      </w:r>
      <w:r>
        <w:rPr>
          <w:rStyle w:val="7"/>
          <w:rFonts w:ascii="仿宋" w:hAnsi="仿宋" w:eastAsia="仿宋"/>
          <w:b w:val="0"/>
          <w:i w:val="0"/>
          <w:caps w:val="0"/>
          <w:color w:val="333333"/>
          <w:spacing w:val="0"/>
          <w:w w:val="100"/>
          <w:kern w:val="2"/>
          <w:sz w:val="32"/>
          <w:szCs w:val="32"/>
          <w:lang w:val="en-US" w:eastAsia="zh-CN" w:bidi="ar-SA"/>
        </w:rPr>
        <w:t>键领域和主要环节</w:t>
      </w:r>
      <w:r>
        <w:rPr>
          <w:rStyle w:val="7"/>
          <w:rFonts w:ascii="仿宋" w:hAnsi="仿宋" w:eastAsia="仿宋"/>
          <w:b w:val="0"/>
          <w:i w:val="0"/>
          <w:caps w:val="0"/>
          <w:color w:val="333333"/>
          <w:spacing w:val="0"/>
          <w:w w:val="100"/>
          <w:kern w:val="0"/>
          <w:sz w:val="32"/>
          <w:szCs w:val="32"/>
          <w:lang w:val="en-US" w:eastAsia="zh-CN" w:bidi="ar-SA"/>
        </w:rPr>
        <w:t>，运用信息技术深化教学改革，充分</w:t>
      </w:r>
      <w:r>
        <w:rPr>
          <w:rStyle w:val="7"/>
          <w:rFonts w:ascii="仿宋" w:hAnsi="仿宋" w:eastAsia="仿宋"/>
          <w:b w:val="0"/>
          <w:i w:val="0"/>
          <w:caps w:val="0"/>
          <w:color w:val="4B4B4B"/>
          <w:spacing w:val="0"/>
          <w:w w:val="100"/>
          <w:kern w:val="2"/>
          <w:sz w:val="32"/>
          <w:szCs w:val="32"/>
          <w:lang w:val="en-US" w:eastAsia="zh-CN" w:bidi="ar-SA"/>
        </w:rPr>
        <w:t>发挥教学科研优势，建设优质课程。</w:t>
      </w:r>
    </w:p>
    <w:p>
      <w:pPr>
        <w:widowControl/>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 xml:space="preserve"> 师资团队重点建设项目：深入实施人才强校战略，完善高端人才培养和成长机制，支持高校培养或引进紧缺的高水平教师，加快培育高层次优秀师资团队，逐步形成一批培养理念新、教学水平高、创新能力强、结构合理、富有团结协作精神的师资团队。</w:t>
      </w:r>
    </w:p>
    <w:p>
      <w:pPr>
        <w:pStyle w:val="41"/>
        <w:widowControl/>
        <w:snapToGrid w:val="0"/>
        <w:spacing w:before="0" w:beforeAutospacing="1" w:after="0" w:afterAutospacing="1" w:line="520" w:lineRule="exact"/>
        <w:ind w:left="0" w:right="0" w:firstLineChars="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 xml:space="preserve">    </w:t>
      </w:r>
      <w:r>
        <w:rPr>
          <w:rStyle w:val="7"/>
          <w:rFonts w:ascii="黑体" w:hAnsi="黑体" w:eastAsia="黑体" w:cs="黑体"/>
          <w:b w:val="0"/>
          <w:bCs/>
          <w:i w:val="0"/>
          <w:caps w:val="0"/>
          <w:color w:val="000000"/>
          <w:spacing w:val="0"/>
          <w:w w:val="100"/>
          <w:kern w:val="2"/>
          <w:sz w:val="32"/>
          <w:szCs w:val="32"/>
          <w:lang w:val="en-US" w:eastAsia="zh-CN" w:bidi="ar-SA"/>
        </w:rPr>
        <w:t xml:space="preserve">第七条 </w:t>
      </w:r>
      <w:r>
        <w:rPr>
          <w:rStyle w:val="7"/>
          <w:rFonts w:ascii="仿宋" w:hAnsi="仿宋" w:eastAsia="仿宋"/>
          <w:b w:val="0"/>
          <w:i w:val="0"/>
          <w:caps w:val="0"/>
          <w:color w:val="333333"/>
          <w:spacing w:val="0"/>
          <w:w w:val="100"/>
          <w:kern w:val="0"/>
          <w:sz w:val="32"/>
          <w:szCs w:val="32"/>
          <w:lang w:val="en-US" w:eastAsia="zh-CN" w:bidi="ar-SA"/>
        </w:rPr>
        <w:t>各校根据自身实际，综合考虑资金供给和建设需求，结合学校《一流大学建设方案》，统筹安排编制《一流大学重点建设项目申报书》（以下简称《申报书》），明确项目总体目标和分阶段目标任务，合理选择建设路径和措施，科学编制项目建设方案及绩效考核指标。</w:t>
      </w:r>
    </w:p>
    <w:p>
      <w:pPr>
        <w:pStyle w:val="41"/>
        <w:widowControl/>
        <w:snapToGrid w:val="0"/>
        <w:spacing w:before="0" w:beforeAutospacing="1" w:after="0" w:afterAutospacing="1" w:line="520" w:lineRule="exact"/>
        <w:ind w:left="0" w:right="0" w:firstLine="640" w:firstLineChars="200"/>
        <w:jc w:val="both"/>
        <w:textAlignment w:val="baseline"/>
        <w:rPr>
          <w:rStyle w:val="7"/>
          <w:rFonts w:ascii="仿宋" w:hAnsi="仿宋" w:eastAsia="仿宋"/>
          <w:b w:val="0"/>
          <w:i w:val="0"/>
          <w:caps w:val="0"/>
          <w:color w:val="333333"/>
          <w:spacing w:val="0"/>
          <w:w w:val="100"/>
          <w:kern w:val="2"/>
          <w:sz w:val="32"/>
          <w:szCs w:val="32"/>
          <w:lang w:val="en-US" w:eastAsia="zh-CN" w:bidi="ar-SA"/>
        </w:rPr>
      </w:pPr>
      <w:r>
        <w:rPr>
          <w:rStyle w:val="7"/>
          <w:rFonts w:ascii="黑体" w:hAnsi="黑体" w:eastAsia="黑体" w:cs="黑体"/>
          <w:b w:val="0"/>
          <w:bCs/>
          <w:i w:val="0"/>
          <w:caps w:val="0"/>
          <w:color w:val="000000"/>
          <w:spacing w:val="0"/>
          <w:w w:val="100"/>
          <w:kern w:val="2"/>
          <w:sz w:val="32"/>
          <w:szCs w:val="32"/>
          <w:lang w:val="en-US" w:eastAsia="zh-CN" w:bidi="ar-SA"/>
        </w:rPr>
        <w:t xml:space="preserve">第八条 </w:t>
      </w:r>
      <w:r>
        <w:rPr>
          <w:rStyle w:val="7"/>
          <w:rFonts w:ascii="仿宋" w:hAnsi="仿宋" w:eastAsia="仿宋"/>
          <w:b w:val="0"/>
          <w:i w:val="0"/>
          <w:caps w:val="0"/>
          <w:color w:val="333333"/>
          <w:spacing w:val="0"/>
          <w:w w:val="100"/>
          <w:kern w:val="2"/>
          <w:sz w:val="32"/>
          <w:szCs w:val="32"/>
          <w:lang w:val="en-US" w:eastAsia="zh-CN" w:bidi="ar-SA"/>
        </w:rPr>
        <w:t>教育厅组建由有关部门、高校、行业等人员组成的一流大学建设专家委员会（以下简称“专家委员会”），对各校申报的建设项目进行评审，提出评审意见并确定立项建设项目，开展项目检查和项目验收等工作。</w:t>
      </w:r>
    </w:p>
    <w:p>
      <w:pPr>
        <w:pStyle w:val="41"/>
        <w:widowControl/>
        <w:snapToGrid w:val="0"/>
        <w:spacing w:before="0" w:beforeAutospacing="1" w:after="0" w:afterAutospacing="1" w:line="520" w:lineRule="exact"/>
        <w:ind w:left="0" w:leftChars="0" w:right="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cs="黑体"/>
          <w:b w:val="0"/>
          <w:bCs/>
          <w:i w:val="0"/>
          <w:caps w:val="0"/>
          <w:color w:val="000000"/>
          <w:spacing w:val="0"/>
          <w:w w:val="100"/>
          <w:kern w:val="2"/>
          <w:sz w:val="32"/>
          <w:szCs w:val="32"/>
          <w:lang w:val="en-US" w:eastAsia="zh-CN" w:bidi="ar-SA"/>
        </w:rPr>
        <w:t xml:space="preserve">    第九条</w:t>
      </w:r>
      <w:r>
        <w:rPr>
          <w:rStyle w:val="7"/>
          <w:rFonts w:ascii="黑体" w:hAnsi="黑体" w:eastAsia="黑体"/>
          <w:b/>
          <w:i w:val="0"/>
          <w:caps w:val="0"/>
          <w:color w:val="000000"/>
          <w:spacing w:val="0"/>
          <w:w w:val="100"/>
          <w:kern w:val="2"/>
          <w:sz w:val="32"/>
          <w:szCs w:val="32"/>
          <w:lang w:val="en-US" w:eastAsia="zh-CN" w:bidi="ar-SA"/>
        </w:rPr>
        <w:t xml:space="preserve"> </w:t>
      </w:r>
      <w:r>
        <w:rPr>
          <w:rStyle w:val="7"/>
          <w:rFonts w:ascii="仿宋" w:hAnsi="仿宋" w:eastAsia="仿宋"/>
          <w:b w:val="0"/>
          <w:bCs w:val="0"/>
          <w:i w:val="0"/>
          <w:caps w:val="0"/>
          <w:color w:val="333333"/>
          <w:spacing w:val="0"/>
          <w:w w:val="100"/>
          <w:kern w:val="0"/>
          <w:sz w:val="32"/>
          <w:szCs w:val="32"/>
          <w:lang w:val="en-US" w:eastAsia="zh-CN" w:bidi="ar-SA"/>
        </w:rPr>
        <w:t>教育厅委托专家委员会对各校《申报书》进行审核并反馈评审意见，</w:t>
      </w:r>
      <w:r>
        <w:rPr>
          <w:rStyle w:val="7"/>
          <w:rFonts w:ascii="仿宋" w:hAnsi="仿宋" w:eastAsia="仿宋"/>
          <w:b w:val="0"/>
          <w:i w:val="0"/>
          <w:caps w:val="0"/>
          <w:color w:val="333333"/>
          <w:spacing w:val="0"/>
          <w:w w:val="100"/>
          <w:kern w:val="0"/>
          <w:sz w:val="32"/>
          <w:szCs w:val="32"/>
          <w:lang w:val="en-US" w:eastAsia="zh-CN" w:bidi="ar-SA"/>
        </w:rPr>
        <w:t>各校对《申报书》进行修改完善后报教育厅复评。复评通过后省教育厅对拟立项建设项目进行为期不少于5天的公示。</w:t>
      </w:r>
    </w:p>
    <w:p>
      <w:pPr>
        <w:snapToGrid w:val="0"/>
        <w:spacing w:before="0" w:beforeAutospacing="0" w:after="0" w:afterAutospacing="0" w:line="520" w:lineRule="exact"/>
        <w:ind w:left="0" w:leftChars="0" w:right="0" w:firstLine="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2"/>
          <w:sz w:val="32"/>
          <w:szCs w:val="32"/>
          <w:lang w:val="en-US" w:eastAsia="zh-CN" w:bidi="ar-SA"/>
        </w:rPr>
        <w:t xml:space="preserve"> </w:t>
      </w:r>
      <w:r>
        <w:rPr>
          <w:rStyle w:val="7"/>
          <w:rFonts w:ascii="仿宋" w:hAnsi="仿宋" w:eastAsia="仿宋"/>
          <w:b w:val="0"/>
          <w:bCs w:val="0"/>
          <w:i w:val="0"/>
          <w:caps w:val="0"/>
          <w:color w:val="333333"/>
          <w:spacing w:val="0"/>
          <w:w w:val="100"/>
          <w:kern w:val="2"/>
          <w:sz w:val="32"/>
          <w:szCs w:val="32"/>
          <w:lang w:val="en-US" w:eastAsia="zh-CN" w:bidi="ar-SA"/>
        </w:rPr>
        <w:t xml:space="preserve">   </w:t>
      </w:r>
      <w:r>
        <w:rPr>
          <w:rStyle w:val="7"/>
          <w:rFonts w:ascii="黑体" w:hAnsi="黑体" w:eastAsia="黑体"/>
          <w:b w:val="0"/>
          <w:bCs w:val="0"/>
          <w:i w:val="0"/>
          <w:caps w:val="0"/>
          <w:color w:val="000000"/>
          <w:spacing w:val="0"/>
          <w:w w:val="100"/>
          <w:kern w:val="2"/>
          <w:sz w:val="32"/>
          <w:szCs w:val="32"/>
          <w:lang w:val="en-US" w:eastAsia="zh-CN" w:bidi="ar-SA"/>
        </w:rPr>
        <w:t>第十条</w:t>
      </w:r>
      <w:r>
        <w:rPr>
          <w:rStyle w:val="7"/>
          <w:rFonts w:ascii="仿宋" w:hAnsi="仿宋" w:eastAsia="仿宋"/>
          <w:b w:val="0"/>
          <w:i w:val="0"/>
          <w:caps w:val="0"/>
          <w:color w:val="333333"/>
          <w:spacing w:val="0"/>
          <w:w w:val="100"/>
          <w:kern w:val="2"/>
          <w:sz w:val="32"/>
          <w:szCs w:val="32"/>
          <w:lang w:val="en-US" w:eastAsia="zh-CN" w:bidi="ar-SA"/>
        </w:rPr>
        <w:t xml:space="preserve"> 公</w:t>
      </w:r>
      <w:r>
        <w:rPr>
          <w:rStyle w:val="7"/>
          <w:rFonts w:ascii="仿宋" w:hAnsi="仿宋" w:eastAsia="仿宋"/>
          <w:b w:val="0"/>
          <w:i w:val="0"/>
          <w:caps w:val="0"/>
          <w:color w:val="333333"/>
          <w:spacing w:val="0"/>
          <w:w w:val="100"/>
          <w:kern w:val="0"/>
          <w:sz w:val="32"/>
          <w:szCs w:val="32"/>
          <w:lang w:val="en-US" w:eastAsia="zh-CN" w:bidi="ar-SA"/>
        </w:rPr>
        <w:t>示期间有异议的项目，经调查属于确需调整的，由教育厅组织专家委员会重新审定。拟立项项目通过公示程序后，由教育厅下发立项文件，公开立项项目。立项文件下发后，各校需编制《贵州省普通本科高校一流大学重点建设项目（含培育）经费预算及建设目标表》（以下简称《目标表》）报教育厅；各校需与项目负责人签订《一流大学重点建设项目建设责任书》（以下简称《责任书》）。《申报书》与《责任书》均由各校自行存档备查。</w:t>
      </w:r>
    </w:p>
    <w:p>
      <w:pPr>
        <w:widowControl/>
        <w:shd w:val="clear" w:color="auto" w:fill="FFFFFF"/>
        <w:snapToGrid w:val="0"/>
        <w:spacing w:before="0" w:beforeAutospacing="0" w:after="0" w:afterAutospacing="0" w:line="520" w:lineRule="exact"/>
        <w:ind w:left="0" w:leftChars="0" w:right="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 xml:space="preserve"> </w:t>
      </w:r>
      <w:r>
        <w:rPr>
          <w:rStyle w:val="7"/>
          <w:rFonts w:ascii="黑体" w:hAnsi="黑体" w:eastAsia="黑体" w:cs="黑体"/>
          <w:b w:val="0"/>
          <w:bCs/>
          <w:i w:val="0"/>
          <w:caps w:val="0"/>
          <w:color w:val="000000"/>
          <w:spacing w:val="0"/>
          <w:w w:val="100"/>
          <w:kern w:val="2"/>
          <w:sz w:val="32"/>
          <w:szCs w:val="32"/>
          <w:lang w:val="en-US" w:eastAsia="zh-CN" w:bidi="ar-SA"/>
        </w:rPr>
        <w:t xml:space="preserve">   第十一条</w:t>
      </w:r>
      <w:r>
        <w:rPr>
          <w:rStyle w:val="7"/>
          <w:rFonts w:ascii="仿宋" w:hAnsi="仿宋" w:eastAsia="仿宋"/>
          <w:b w:val="0"/>
          <w:i w:val="0"/>
          <w:caps w:val="0"/>
          <w:color w:val="333333"/>
          <w:spacing w:val="0"/>
          <w:w w:val="100"/>
          <w:kern w:val="2"/>
          <w:sz w:val="32"/>
          <w:szCs w:val="32"/>
          <w:lang w:val="en-US" w:eastAsia="zh-CN" w:bidi="ar-SA"/>
        </w:rPr>
        <w:t xml:space="preserve"> </w:t>
      </w:r>
      <w:r>
        <w:rPr>
          <w:rStyle w:val="7"/>
          <w:rFonts w:ascii="仿宋" w:hAnsi="仿宋" w:eastAsia="仿宋"/>
          <w:b w:val="0"/>
          <w:i w:val="0"/>
          <w:caps w:val="0"/>
          <w:color w:val="333333"/>
          <w:spacing w:val="0"/>
          <w:w w:val="100"/>
          <w:kern w:val="0"/>
          <w:sz w:val="32"/>
          <w:szCs w:val="32"/>
          <w:lang w:val="en-US" w:eastAsia="zh-CN" w:bidi="ar-SA"/>
        </w:rPr>
        <w:t>项目建设期原则上不超过4年，执行起始时间从立项文件下发之日算起。第一批重点建设项目于2017年立项建设，2020年项目完成总结验收。拟于2019年开展一流大学重点建设项目二期申报立项工作。</w:t>
      </w:r>
    </w:p>
    <w:p>
      <w:pPr>
        <w:widowControl/>
        <w:shd w:val="clear" w:color="auto" w:fill="FFFFFF"/>
        <w:snapToGrid w:val="0"/>
        <w:spacing w:before="0" w:beforeAutospacing="0" w:after="0" w:afterAutospacing="0" w:line="520" w:lineRule="exact"/>
        <w:ind w:left="0" w:leftChars="0" w:right="0"/>
        <w:jc w:val="both"/>
        <w:textAlignment w:val="baseline"/>
        <w:rPr>
          <w:rStyle w:val="7"/>
          <w:rFonts w:ascii="仿宋" w:hAnsi="仿宋" w:eastAsia="仿宋"/>
          <w:b w:val="0"/>
          <w:i w:val="0"/>
          <w:caps w:val="0"/>
          <w:color w:val="333333"/>
          <w:spacing w:val="0"/>
          <w:w w:val="100"/>
          <w:kern w:val="0"/>
          <w:sz w:val="32"/>
          <w:szCs w:val="32"/>
          <w:lang w:val="en-US" w:eastAsia="zh-CN" w:bidi="ar-SA"/>
        </w:rPr>
      </w:pPr>
    </w:p>
    <w:p>
      <w:pPr>
        <w:widowControl/>
        <w:shd w:val="clear" w:color="auto" w:fill="FFFFFF"/>
        <w:snapToGrid w:val="0"/>
        <w:spacing w:before="0" w:beforeAutospacing="0" w:after="0" w:afterAutospacing="0" w:line="520" w:lineRule="exact"/>
        <w:ind w:left="0" w:leftChars="0" w:right="0"/>
        <w:jc w:val="center"/>
        <w:textAlignment w:val="baseline"/>
        <w:outlineLvl w:val="0"/>
        <w:rPr>
          <w:rStyle w:val="7"/>
          <w:rFonts w:ascii="黑体" w:hAnsi="黑体" w:eastAsia="黑体"/>
          <w:b/>
          <w:i w:val="0"/>
          <w:caps w:val="0"/>
          <w:color w:val="000000"/>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第四章 检查验收</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第十二条</w:t>
      </w:r>
      <w:r>
        <w:rPr>
          <w:rStyle w:val="7"/>
          <w:rFonts w:ascii="仿宋" w:hAnsi="仿宋" w:eastAsia="仿宋"/>
          <w:b w:val="0"/>
          <w:i w:val="0"/>
          <w:caps w:val="0"/>
          <w:color w:val="333333"/>
          <w:spacing w:val="0"/>
          <w:w w:val="100"/>
          <w:kern w:val="0"/>
          <w:sz w:val="32"/>
          <w:szCs w:val="32"/>
          <w:lang w:val="en-US" w:eastAsia="zh-CN" w:bidi="ar-SA"/>
        </w:rPr>
        <w:t xml:space="preserve"> 建立项目动态调整机制，加强过程管理，实施动态检查。检查以定期、不定期校内自查自评、学校间交叉检查、专家委员会进校抽查、中期检查等方式进行。</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第十三条</w:t>
      </w:r>
      <w:r>
        <w:rPr>
          <w:rStyle w:val="7"/>
          <w:rFonts w:ascii="仿宋" w:hAnsi="仿宋" w:eastAsia="仿宋"/>
          <w:b w:val="0"/>
          <w:i w:val="0"/>
          <w:caps w:val="0"/>
          <w:color w:val="333333"/>
          <w:spacing w:val="0"/>
          <w:w w:val="100"/>
          <w:kern w:val="0"/>
          <w:sz w:val="32"/>
          <w:szCs w:val="32"/>
          <w:lang w:val="en-US" w:eastAsia="zh-CN" w:bidi="ar-SA"/>
        </w:rPr>
        <w:t xml:space="preserve"> 建设期内，各校每年年中和年末需填报《贵州省普通本科高校一流大学重点建设项目（含培育）建设推进表》（以下简称《推进表》）报教育厅，报送时间为每年6月20日，12月20日；每年年底各校根据《申报书》、《目标表》、《推进表》等对项目执行情况进行自查自评，并编制年度自评报告报教育厅。项目建设完成后，各校对项目完成情况进行自查自评，并编制《一流大学重点建设项目总结验收自评报告》报教育厅。</w:t>
      </w:r>
    </w:p>
    <w:p>
      <w:pPr>
        <w:widowControl/>
        <w:shd w:val="clear" w:color="auto" w:fill="FFFFFF"/>
        <w:snapToGrid w:val="0"/>
        <w:spacing w:before="0" w:beforeAutospacing="0" w:after="0" w:afterAutospacing="0" w:line="520" w:lineRule="exact"/>
        <w:ind w:left="0" w:leftChars="0" w:right="0" w:firstLine="48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 第十四条 </w:t>
      </w:r>
      <w:r>
        <w:rPr>
          <w:rStyle w:val="7"/>
          <w:rFonts w:ascii="仿宋" w:hAnsi="仿宋" w:eastAsia="仿宋"/>
          <w:b w:val="0"/>
          <w:i w:val="0"/>
          <w:caps w:val="0"/>
          <w:color w:val="333333"/>
          <w:spacing w:val="0"/>
          <w:w w:val="100"/>
          <w:kern w:val="0"/>
          <w:sz w:val="32"/>
          <w:szCs w:val="32"/>
          <w:lang w:val="en-US" w:eastAsia="zh-CN" w:bidi="ar-SA"/>
        </w:rPr>
        <w:t>中期检查和项目验收由教育厅统一安排部署。中期检查和项目验收根据各校《申报书》、《目标表》、《推进表》和自评报告等，检查项目阶段建设目标、完成情况及资金使用管理情况等。</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根据检查结果，对实施不力、进展缓慢、缺乏实效的项目提出警示及整改要求。各校整改项目应按要求及时整改，整改完毕需向教育厅申请复检。项目执行出现重大问题不再具备建设条件的，或经警示整改仍无改善的，将取消立项并停拨项目资金。</w:t>
      </w:r>
    </w:p>
    <w:p>
      <w:pPr>
        <w:widowControl/>
        <w:shd w:val="clear" w:color="auto" w:fill="FFFFFF"/>
        <w:snapToGrid w:val="0"/>
        <w:spacing w:before="0" w:beforeAutospacing="0" w:after="0" w:afterAutospacing="0" w:line="520" w:lineRule="exact"/>
        <w:ind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仿宋" w:hAnsi="仿宋" w:eastAsia="仿宋"/>
          <w:b w:val="0"/>
          <w:i w:val="0"/>
          <w:caps w:val="0"/>
          <w:color w:val="333333"/>
          <w:spacing w:val="0"/>
          <w:w w:val="100"/>
          <w:kern w:val="0"/>
          <w:sz w:val="32"/>
          <w:szCs w:val="32"/>
          <w:lang w:val="en-US" w:eastAsia="zh-CN" w:bidi="ar-SA"/>
        </w:rPr>
        <w:t>根据项目验收结果，对达到建设目标且执行效果突出的项目给予奖励；项目负责人在职称评定、绩效考评中可与省级本科教学工程项目负责人同等对待。对未通过总结验收的项目，将追究项目负责人及项目所在高校有关负责人的责任。</w:t>
      </w:r>
    </w:p>
    <w:p>
      <w:pPr>
        <w:widowControl/>
        <w:shd w:val="clear" w:color="auto" w:fill="FFFFFF"/>
        <w:snapToGrid w:val="0"/>
        <w:spacing w:before="0" w:beforeAutospacing="0" w:after="0" w:afterAutospacing="0" w:line="520" w:lineRule="exact"/>
        <w:ind w:left="0" w:leftChars="0" w:right="0"/>
        <w:jc w:val="center"/>
        <w:textAlignment w:val="baseline"/>
        <w:outlineLvl w:val="0"/>
        <w:rPr>
          <w:rStyle w:val="7"/>
          <w:rFonts w:ascii="黑体" w:hAnsi="黑体" w:eastAsia="黑体"/>
          <w:b w:val="0"/>
          <w:i w:val="0"/>
          <w:caps w:val="0"/>
          <w:color w:val="333333"/>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第五章  资金支持</w:t>
      </w:r>
    </w:p>
    <w:p>
      <w:pPr>
        <w:widowControl/>
        <w:shd w:val="clear" w:color="auto" w:fill="FFFFFF"/>
        <w:snapToGrid w:val="0"/>
        <w:spacing w:before="0" w:beforeAutospacing="0" w:after="0" w:afterAutospacing="0" w:line="520" w:lineRule="exact"/>
        <w:ind w:left="0" w:leftChars="0" w:right="0" w:firstLine="641"/>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cs="黑体"/>
          <w:b w:val="0"/>
          <w:bCs/>
          <w:i w:val="0"/>
          <w:caps w:val="0"/>
          <w:color w:val="000000"/>
          <w:spacing w:val="0"/>
          <w:w w:val="100"/>
          <w:kern w:val="2"/>
          <w:sz w:val="32"/>
          <w:szCs w:val="32"/>
          <w:lang w:val="en-US" w:eastAsia="zh-CN" w:bidi="ar-SA"/>
        </w:rPr>
        <w:t>第十五条</w:t>
      </w:r>
      <w:r>
        <w:rPr>
          <w:rStyle w:val="7"/>
          <w:rFonts w:ascii="黑体" w:hAnsi="黑体" w:eastAsia="黑体"/>
          <w:b/>
          <w:i w:val="0"/>
          <w:caps w:val="0"/>
          <w:color w:val="000000"/>
          <w:spacing w:val="0"/>
          <w:w w:val="100"/>
          <w:kern w:val="2"/>
          <w:sz w:val="32"/>
          <w:szCs w:val="32"/>
          <w:lang w:val="en-US" w:eastAsia="zh-CN" w:bidi="ar-SA"/>
        </w:rPr>
        <w:t xml:space="preserve"> </w:t>
      </w:r>
      <w:r>
        <w:rPr>
          <w:rStyle w:val="7"/>
          <w:rFonts w:ascii="仿宋" w:hAnsi="仿宋" w:eastAsia="仿宋"/>
          <w:b w:val="0"/>
          <w:i w:val="0"/>
          <w:caps w:val="0"/>
          <w:color w:val="333333"/>
          <w:spacing w:val="0"/>
          <w:w w:val="100"/>
          <w:kern w:val="0"/>
          <w:sz w:val="32"/>
          <w:szCs w:val="32"/>
          <w:lang w:val="en-US" w:eastAsia="zh-CN" w:bidi="ar-SA"/>
        </w:rPr>
        <w:t>积极争取中央和省级财政专项资金支持各校一流大学建设；根据每年中央和省级财政专项资金额度，结合项目执行情况安排资金预算。各市州政府、财政要通过多种方式给予市州高校政策、资金和资源等多方支持，对立项建设项目按不低于省属高校财政资金标准安排专项建设资金。</w:t>
      </w:r>
    </w:p>
    <w:p>
      <w:pPr>
        <w:widowControl/>
        <w:shd w:val="clear" w:color="auto" w:fill="FFFFFF"/>
        <w:snapToGrid w:val="0"/>
        <w:spacing w:before="0" w:beforeAutospacing="0" w:after="0" w:afterAutospacing="0" w:line="520" w:lineRule="exact"/>
        <w:ind w:left="0" w:leftChars="0" w:right="0" w:firstLine="641"/>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第十六条</w:t>
      </w:r>
      <w:r>
        <w:rPr>
          <w:rStyle w:val="7"/>
          <w:rFonts w:ascii="仿宋" w:hAnsi="仿宋" w:eastAsia="仿宋"/>
          <w:b w:val="0"/>
          <w:i w:val="0"/>
          <w:caps w:val="0"/>
          <w:color w:val="333333"/>
          <w:spacing w:val="0"/>
          <w:w w:val="100"/>
          <w:kern w:val="0"/>
          <w:sz w:val="32"/>
          <w:szCs w:val="32"/>
          <w:lang w:val="en-US" w:eastAsia="zh-CN" w:bidi="ar-SA"/>
        </w:rPr>
        <w:t xml:space="preserve"> 对中央和省级财政安排的专项资金实行目标绩效管理。各校根据国家、省有关专项资金管理规定制定本校一流大学建设专项资金管理办法，并按不低于财政资金1:1比例落实配套资金。</w:t>
      </w:r>
    </w:p>
    <w:p>
      <w:pPr>
        <w:widowControl/>
        <w:shd w:val="clear" w:color="auto" w:fill="FFFFFF"/>
        <w:snapToGrid w:val="0"/>
        <w:spacing w:before="0" w:beforeAutospacing="0" w:after="0" w:afterAutospacing="0" w:line="520" w:lineRule="exact"/>
        <w:ind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第十七条 </w:t>
      </w:r>
      <w:r>
        <w:rPr>
          <w:rStyle w:val="7"/>
          <w:rFonts w:ascii="仿宋" w:hAnsi="仿宋" w:eastAsia="仿宋"/>
          <w:b w:val="0"/>
          <w:i w:val="0"/>
          <w:caps w:val="0"/>
          <w:color w:val="333333"/>
          <w:spacing w:val="0"/>
          <w:w w:val="100"/>
          <w:kern w:val="0"/>
          <w:sz w:val="32"/>
          <w:szCs w:val="32"/>
          <w:lang w:val="en-US" w:eastAsia="zh-CN" w:bidi="ar-SA"/>
        </w:rPr>
        <w:t>项目执行中，因特殊情况需调整项目资金额度的，严格按照有关预算管理规定执行，并报教育厅（市州高校报主管部门和教育厅）备案。</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第十八条 </w:t>
      </w:r>
      <w:r>
        <w:rPr>
          <w:rStyle w:val="7"/>
          <w:rFonts w:ascii="仿宋" w:hAnsi="仿宋" w:eastAsia="仿宋"/>
          <w:b w:val="0"/>
          <w:i w:val="0"/>
          <w:caps w:val="0"/>
          <w:color w:val="333333"/>
          <w:spacing w:val="0"/>
          <w:w w:val="100"/>
          <w:kern w:val="0"/>
          <w:sz w:val="32"/>
          <w:szCs w:val="32"/>
          <w:lang w:val="en-US" w:eastAsia="zh-CN" w:bidi="ar-SA"/>
        </w:rPr>
        <w:t>各校要认真落实国家和省有关政策规定，加强预算审核，规范财务支出，完善内部风险防控，强化专项资金绩效评价，保障专项资金使用安全规范有效；实行内部公开制度，主动公开项目预算、预算调剂、资金使用等情况。</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p>
    <w:p>
      <w:pPr>
        <w:numPr>
          <w:ilvl w:val="0"/>
          <w:numId w:val="2"/>
        </w:numPr>
        <w:shd w:val="clear" w:color="auto" w:fill="FFFFFF"/>
        <w:snapToGrid w:val="0"/>
        <w:spacing w:before="0" w:beforeAutospacing="0" w:after="0" w:afterAutospacing="0" w:line="520" w:lineRule="exact"/>
        <w:ind w:left="0" w:leftChars="0" w:right="0" w:firstLine="0"/>
        <w:jc w:val="both"/>
        <w:textAlignment w:val="baseline"/>
        <w:outlineLvl w:val="0"/>
        <w:rPr>
          <w:rStyle w:val="7"/>
          <w:rFonts w:ascii="黑体" w:hAnsi="黑体" w:eastAsia="黑体"/>
          <w:b/>
          <w:i w:val="0"/>
          <w:caps w:val="0"/>
          <w:color w:val="000000"/>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组织实施</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第十九条</w:t>
      </w:r>
      <w:r>
        <w:rPr>
          <w:rStyle w:val="7"/>
          <w:rFonts w:ascii="仿宋" w:hAnsi="仿宋" w:eastAsia="仿宋"/>
          <w:b w:val="0"/>
          <w:i w:val="0"/>
          <w:caps w:val="0"/>
          <w:color w:val="333333"/>
          <w:spacing w:val="0"/>
          <w:w w:val="100"/>
          <w:kern w:val="0"/>
          <w:sz w:val="32"/>
          <w:szCs w:val="32"/>
          <w:lang w:val="en-US" w:eastAsia="zh-CN" w:bidi="ar-SA"/>
        </w:rPr>
        <w:t xml:space="preserve"> 省教育厅负责我省一流大学建设统筹规划、推进实施、监督管理等工作。各市州政府应结合区域经济社会发展需求推动市州高校一流大学建设。</w:t>
      </w:r>
    </w:p>
    <w:p>
      <w:pPr>
        <w:shd w:val="clear" w:color="auto" w:fill="FFFFFF"/>
        <w:snapToGrid w:val="0"/>
        <w:spacing w:before="0" w:beforeAutospacing="0" w:after="0" w:afterAutospacing="0" w:line="520" w:lineRule="exact"/>
        <w:ind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第二十条</w:t>
      </w:r>
      <w:r>
        <w:rPr>
          <w:rStyle w:val="7"/>
          <w:rFonts w:ascii="仿宋" w:hAnsi="仿宋" w:eastAsia="仿宋"/>
          <w:b w:val="0"/>
          <w:i w:val="0"/>
          <w:caps w:val="0"/>
          <w:color w:val="333333"/>
          <w:spacing w:val="0"/>
          <w:w w:val="100"/>
          <w:kern w:val="0"/>
          <w:sz w:val="32"/>
          <w:szCs w:val="32"/>
          <w:lang w:val="en-US" w:eastAsia="zh-CN" w:bidi="ar-SA"/>
        </w:rPr>
        <w:t xml:space="preserve"> 各校要全面加强党的领导和党的建设，坚持正确办学方向，深化综合改革，加强组织保障，营造良好的一流大学建设环境。</w:t>
      </w:r>
    </w:p>
    <w:p>
      <w:pPr>
        <w:widowControl/>
        <w:shd w:val="clear" w:color="auto" w:fill="FFFFFF"/>
        <w:snapToGrid w:val="0"/>
        <w:spacing w:before="0" w:beforeAutospacing="0" w:after="0" w:afterAutospacing="0" w:line="520" w:lineRule="exact"/>
        <w:ind w:left="0" w:leftChars="0"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第二十一条</w:t>
      </w:r>
      <w:r>
        <w:rPr>
          <w:rStyle w:val="7"/>
          <w:rFonts w:ascii="仿宋" w:hAnsi="仿宋" w:eastAsia="仿宋"/>
          <w:b w:val="0"/>
          <w:i w:val="0"/>
          <w:caps w:val="0"/>
          <w:color w:val="333333"/>
          <w:spacing w:val="0"/>
          <w:w w:val="100"/>
          <w:kern w:val="0"/>
          <w:sz w:val="32"/>
          <w:szCs w:val="32"/>
          <w:lang w:val="en-US" w:eastAsia="zh-CN" w:bidi="ar-SA"/>
        </w:rPr>
        <w:t xml:space="preserve"> 坚持信息公开，各校要公布一流大学建设方案，定期公开重点项目建设情况等，强化社会监督。</w:t>
      </w:r>
    </w:p>
    <w:p>
      <w:pPr>
        <w:widowControl/>
        <w:shd w:val="clear" w:color="auto" w:fill="FFFFFF"/>
        <w:snapToGrid w:val="0"/>
        <w:spacing w:before="0" w:beforeAutospacing="0" w:after="0" w:afterAutospacing="0" w:line="520" w:lineRule="exact"/>
        <w:ind w:left="0" w:leftChars="0" w:right="0" w:firstLine="0"/>
        <w:jc w:val="center"/>
        <w:textAlignment w:val="baseline"/>
        <w:rPr>
          <w:rStyle w:val="7"/>
          <w:rFonts w:ascii="黑体" w:hAnsi="黑体" w:eastAsia="黑体"/>
          <w:b/>
          <w:i w:val="0"/>
          <w:caps w:val="0"/>
          <w:color w:val="000000"/>
          <w:spacing w:val="0"/>
          <w:w w:val="100"/>
          <w:kern w:val="2"/>
          <w:sz w:val="32"/>
          <w:szCs w:val="32"/>
          <w:lang w:val="en-US" w:eastAsia="zh-CN" w:bidi="ar-SA"/>
        </w:rPr>
      </w:pPr>
    </w:p>
    <w:p>
      <w:pPr>
        <w:widowControl/>
        <w:shd w:val="clear" w:color="auto" w:fill="FFFFFF"/>
        <w:snapToGrid w:val="0"/>
        <w:spacing w:before="0" w:beforeAutospacing="0" w:after="0" w:afterAutospacing="0" w:line="520" w:lineRule="exact"/>
        <w:ind w:left="0" w:leftChars="0" w:right="0" w:firstLine="0"/>
        <w:jc w:val="center"/>
        <w:textAlignment w:val="baseline"/>
        <w:outlineLvl w:val="0"/>
        <w:rPr>
          <w:rStyle w:val="7"/>
          <w:rFonts w:ascii="黑体" w:hAnsi="黑体" w:eastAsia="黑体"/>
          <w:b w:val="0"/>
          <w:i w:val="0"/>
          <w:caps w:val="0"/>
          <w:color w:val="333333"/>
          <w:spacing w:val="0"/>
          <w:w w:val="100"/>
          <w:kern w:val="2"/>
          <w:sz w:val="32"/>
          <w:szCs w:val="32"/>
          <w:lang w:val="en-US" w:eastAsia="zh-CN" w:bidi="ar-SA"/>
        </w:rPr>
      </w:pPr>
      <w:r>
        <w:rPr>
          <w:rStyle w:val="7"/>
          <w:rFonts w:ascii="黑体" w:hAnsi="黑体" w:eastAsia="黑体"/>
          <w:b/>
          <w:i w:val="0"/>
          <w:caps w:val="0"/>
          <w:color w:val="000000"/>
          <w:spacing w:val="0"/>
          <w:w w:val="100"/>
          <w:kern w:val="2"/>
          <w:sz w:val="32"/>
          <w:szCs w:val="32"/>
          <w:lang w:val="en-US" w:eastAsia="zh-CN" w:bidi="ar-SA"/>
        </w:rPr>
        <w:t>第七章  附则</w:t>
      </w:r>
    </w:p>
    <w:p>
      <w:pPr>
        <w:widowControl/>
        <w:shd w:val="clear" w:color="auto" w:fill="FFFFFF"/>
        <w:snapToGrid w:val="0"/>
        <w:spacing w:before="0" w:beforeAutospacing="0" w:after="0" w:afterAutospacing="0" w:line="520" w:lineRule="exact"/>
        <w:ind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第二十二条 </w:t>
      </w:r>
      <w:r>
        <w:rPr>
          <w:rStyle w:val="7"/>
          <w:rFonts w:ascii="仿宋" w:hAnsi="仿宋" w:eastAsia="仿宋"/>
          <w:b w:val="0"/>
          <w:i w:val="0"/>
          <w:caps w:val="0"/>
          <w:color w:val="333333"/>
          <w:spacing w:val="0"/>
          <w:w w:val="100"/>
          <w:kern w:val="0"/>
          <w:sz w:val="32"/>
          <w:szCs w:val="32"/>
          <w:lang w:val="en-US" w:eastAsia="zh-CN" w:bidi="ar-SA"/>
        </w:rPr>
        <w:t xml:space="preserve"> 本管理办法由省教育厅负责解释。</w:t>
      </w:r>
    </w:p>
    <w:p>
      <w:pPr>
        <w:widowControl/>
        <w:shd w:val="clear" w:color="auto" w:fill="FFFFFF"/>
        <w:snapToGrid w:val="0"/>
        <w:spacing w:before="0" w:beforeAutospacing="0" w:after="0" w:afterAutospacing="0" w:line="520" w:lineRule="exact"/>
        <w:ind w:right="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bidi="ar-SA"/>
        </w:rPr>
      </w:pPr>
      <w:r>
        <w:rPr>
          <w:rStyle w:val="7"/>
          <w:rFonts w:ascii="黑体" w:hAnsi="黑体" w:eastAsia="黑体"/>
          <w:b w:val="0"/>
          <w:i w:val="0"/>
          <w:caps w:val="0"/>
          <w:color w:val="333333"/>
          <w:spacing w:val="0"/>
          <w:w w:val="100"/>
          <w:kern w:val="0"/>
          <w:sz w:val="32"/>
          <w:szCs w:val="32"/>
          <w:lang w:val="en-US" w:eastAsia="zh-CN" w:bidi="ar-SA"/>
        </w:rPr>
        <w:t xml:space="preserve">第二十三条 </w:t>
      </w:r>
      <w:r>
        <w:rPr>
          <w:rStyle w:val="7"/>
          <w:rFonts w:ascii="仿宋" w:hAnsi="仿宋" w:eastAsia="仿宋"/>
          <w:b w:val="0"/>
          <w:i w:val="0"/>
          <w:caps w:val="0"/>
          <w:color w:val="333333"/>
          <w:spacing w:val="0"/>
          <w:w w:val="100"/>
          <w:kern w:val="0"/>
          <w:sz w:val="32"/>
          <w:szCs w:val="32"/>
          <w:lang w:val="en-US" w:eastAsia="zh-CN" w:bidi="ar-SA"/>
        </w:rPr>
        <w:t xml:space="preserve"> 本管理办法自发布之日起实施。</w:t>
      </w:r>
    </w:p>
    <w:p>
      <w:pPr>
        <w:widowControl/>
        <w:shd w:val="clear" w:color="auto" w:fill="FFFFFF"/>
        <w:snapToGrid/>
        <w:spacing w:before="0" w:beforeAutospacing="0" w:after="0" w:afterAutospacing="0" w:line="520" w:lineRule="exact"/>
        <w:ind w:left="0" w:leftChars="0" w:right="0" w:firstLine="480"/>
        <w:jc w:val="left"/>
        <w:textAlignment w:val="baseline"/>
        <w:rPr>
          <w:rStyle w:val="7"/>
          <w:rFonts w:ascii="仿宋" w:hAnsi="仿宋" w:eastAsia="仿宋"/>
          <w:b w:val="0"/>
          <w:i w:val="0"/>
          <w:caps w:val="0"/>
          <w:color w:val="333333"/>
          <w:spacing w:val="0"/>
          <w:w w:val="100"/>
          <w:kern w:val="0"/>
          <w:sz w:val="32"/>
          <w:szCs w:val="32"/>
          <w:lang w:val="en-US" w:eastAsia="zh-CN" w:bidi="ar-SA"/>
        </w:rPr>
        <w:sectPr>
          <w:footerReference r:id="rId3" w:type="default"/>
          <w:pgSz w:w="11906" w:h="16838"/>
          <w:pgMar w:top="1440" w:right="1689" w:bottom="1440" w:left="1689" w:header="851" w:footer="992" w:gutter="0"/>
          <w:paperSrc/>
          <w:lnNumType w:countBy="0"/>
          <w:pgNumType w:start="3"/>
          <w:cols w:space="425" w:num="1"/>
          <w:vAlign w:val="top"/>
          <w:docGrid w:type="lines" w:linePitch="312" w:charSpace="0"/>
        </w:sectPr>
      </w:pPr>
    </w:p>
    <w:p>
      <w:pPr>
        <w:widowControl/>
        <w:shd w:val="clear" w:color="auto" w:fill="FFFFFF"/>
        <w:snapToGrid/>
        <w:spacing w:before="0" w:beforeAutospacing="0" w:after="0" w:afterAutospacing="0" w:line="540" w:lineRule="exact"/>
        <w:ind w:left="1680" w:leftChars="0" w:right="0" w:hanging="1680"/>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Times New Roman" w:hAnsi="Times New Roman" w:eastAsia="宋体"/>
          <w:b w:val="0"/>
          <w:i w:val="0"/>
          <w:caps w:val="0"/>
          <w:spacing w:val="0"/>
          <w:w w:val="100"/>
          <w:kern w:val="2"/>
          <w:sz w:val="32"/>
          <w:szCs w:val="24"/>
          <w:lang w:val="en-US" w:eastAsia="zh-CN" w:bidi="ar-SA"/>
        </w:rPr>
        <mc:AlternateContent>
          <mc:Choice Requires="wps">
            <w:drawing>
              <wp:anchor distT="0" distB="0" distL="114300" distR="114300" simplePos="0" relativeHeight="524288" behindDoc="0" locked="0" layoutInCell="1" allowOverlap="1">
                <wp:simplePos x="0" y="0"/>
                <wp:positionH relativeFrom="column">
                  <wp:posOffset>-168910</wp:posOffset>
                </wp:positionH>
                <wp:positionV relativeFrom="paragraph">
                  <wp:posOffset>-750570</wp:posOffset>
                </wp:positionV>
                <wp:extent cx="1276350" cy="39052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276350" cy="390525"/>
                        </a:xfrm>
                        <a:prstGeom prst="rect">
                          <a:avLst/>
                        </a:prstGeom>
                        <a:noFill/>
                        <a:ln>
                          <a:noFill/>
                        </a:ln>
                      </wps:spPr>
                      <wps:txbx>
                        <w:txbxContent>
                          <w:p>
                            <w:pPr>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附件1</w:t>
                            </w:r>
                          </w:p>
                          <w:p>
                            <w:pPr>
                              <w:jc w:val="both"/>
                              <w:textAlignment w:val="baseline"/>
                              <w:rPr>
                                <w:rStyle w:val="7"/>
                                <w:kern w:val="2"/>
                                <w:sz w:val="21"/>
                                <w:szCs w:val="24"/>
                                <w:lang w:val="en-US" w:eastAsia="zh-CN" w:bidi="ar-SA"/>
                              </w:rPr>
                            </w:pPr>
                          </w:p>
                        </w:txbxContent>
                      </wps:txbx>
                      <wps:bodyPr lIns="91439" tIns="45719" rIns="91439" bIns="45719" upright="1"/>
                    </wps:wsp>
                  </a:graphicData>
                </a:graphic>
              </wp:anchor>
            </w:drawing>
          </mc:Choice>
          <mc:Fallback>
            <w:pict>
              <v:shape id="文本框 2" o:spid="_x0000_s1026" o:spt="202" type="#_x0000_t202" style="position:absolute;left:0pt;margin-left:-13.3pt;margin-top:-59.1pt;height:30.75pt;width:100.5pt;z-index:524288;mso-width-relative:page;mso-height-relative:page;" filled="f" stroked="f" coordsize="21600,21600" o:gfxdata="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GbuEtoAAAAM&#10;AQAADwAAAAAAAAABACAAAAAiAAAAZHJzL2Rvd25yZXYueG1sUEsBAhQAFAAAAAgAh07iQJHTRguo&#10;AQAANAMAAA4AAAAAAAAAAQAgAAAAKQEAAGRycy9lMm9Eb2MueG1sUEsFBgAAAAAGAAYAWQEAAEMF&#10;AAAAAA==&#10;">
                <v:fill on="f" focussize="0,0"/>
                <v:stroke on="f"/>
                <v:imagedata o:title=""/>
                <o:lock v:ext="edit" aspectratio="f"/>
                <v:textbox inset="7.19992125984252pt,3.59992125984252pt,7.19992125984252pt,3.59992125984252pt">
                  <w:txbxContent>
                    <w:p>
                      <w:pPr>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附件1</w:t>
                      </w:r>
                    </w:p>
                    <w:p>
                      <w:pPr>
                        <w:jc w:val="both"/>
                        <w:textAlignment w:val="baseline"/>
                        <w:rPr>
                          <w:rStyle w:val="7"/>
                          <w:kern w:val="2"/>
                          <w:sz w:val="21"/>
                          <w:szCs w:val="24"/>
                          <w:lang w:val="en-US" w:eastAsia="zh-CN" w:bidi="ar-SA"/>
                        </w:rPr>
                      </w:pPr>
                    </w:p>
                  </w:txbxContent>
                </v:textbox>
              </v:shape>
            </w:pict>
          </mc:Fallback>
        </mc:AlternateContent>
      </w:r>
      <w:r>
        <w:rPr>
          <w:rStyle w:val="7"/>
          <w:rFonts w:ascii="黑体" w:hAnsi="黑体" w:eastAsia="黑体"/>
          <w:b w:val="0"/>
          <w:i w:val="0"/>
          <w:caps w:val="0"/>
          <w:spacing w:val="0"/>
          <w:w w:val="100"/>
          <w:kern w:val="2"/>
          <w:sz w:val="32"/>
          <w:szCs w:val="32"/>
          <w:lang w:val="en-US" w:eastAsia="zh-CN" w:bidi="ar-SA"/>
        </w:rPr>
        <w:t>贵州省普通本科高校一流大学二期重点建设项目（含培育）经费预算及建设目标表</w:t>
      </w:r>
    </w:p>
    <w:p>
      <w:pPr>
        <w:snapToGrid/>
        <w:spacing w:before="0" w:beforeAutospacing="0" w:after="0" w:afterAutospacing="0" w:line="540" w:lineRule="exact"/>
        <w:ind w:left="1680" w:hanging="168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报送学校：（公章）</w:t>
      </w:r>
    </w:p>
    <w:tbl>
      <w:tblPr>
        <w:tblStyle w:val="4"/>
        <w:tblW w:w="1439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555"/>
        <w:gridCol w:w="855"/>
        <w:gridCol w:w="1110"/>
        <w:gridCol w:w="1020"/>
        <w:gridCol w:w="726"/>
        <w:gridCol w:w="720"/>
        <w:gridCol w:w="870"/>
        <w:gridCol w:w="960"/>
        <w:gridCol w:w="1005"/>
        <w:gridCol w:w="885"/>
        <w:gridCol w:w="2160"/>
        <w:gridCol w:w="1425"/>
        <w:gridCol w:w="15"/>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序号</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项目类别</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项目名称</w:t>
            </w:r>
          </w:p>
        </w:tc>
        <w:tc>
          <w:tcPr>
            <w:tcW w:w="9456" w:type="dxa"/>
            <w:gridSpan w:val="9"/>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2020-2022年资金预算表</w:t>
            </w:r>
          </w:p>
        </w:tc>
        <w:tc>
          <w:tcPr>
            <w:tcW w:w="2955"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项目建设目标（2019-2022年）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年份</w:t>
            </w:r>
          </w:p>
        </w:tc>
        <w:tc>
          <w:tcPr>
            <w:tcW w:w="8346"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经费（万元）123</w:t>
            </w:r>
          </w:p>
        </w:tc>
        <w:tc>
          <w:tcPr>
            <w:tcW w:w="295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20" w:type="dxa"/>
            <w:vMerge w:val="restar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资金总投入①=②+③=④+⑤+⑥+⑦+⑧</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投入资金组成情况</w:t>
            </w:r>
          </w:p>
        </w:tc>
        <w:tc>
          <w:tcPr>
            <w:tcW w:w="588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详述资金分年预算安排经济科目</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其中：</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中期建设目标(截至2020年底）</w:t>
            </w:r>
          </w:p>
        </w:tc>
        <w:tc>
          <w:tcPr>
            <w:tcW w:w="153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建成目标（截至2022年）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财政拨款②</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学校配套③</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差旅费④</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会议费⑤</w:t>
            </w: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设备购置费⑥</w:t>
            </w: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培训费⑦</w:t>
            </w: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其他（如出版费、专家咨询费等）⑧</w:t>
            </w: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专业建设项目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例：会计学</w:t>
            </w: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320</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160</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160</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320</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160</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160</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320</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160</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160</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960</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480</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480</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3"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专业培育项目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本类项目经费合计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平台建设项目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2"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平台培育项目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w:t>
            </w: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本类项目经费合计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师资团队建设项目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2"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师资团队培育项目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w:t>
            </w: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本类项目经费合计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95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课程建设项目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课程建设项目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w:t>
            </w: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2020年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2021年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2022年</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3年经费小计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本类项目经费合计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955"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3091"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r>
              <w:rPr>
                <w:rStyle w:val="7"/>
                <w:rFonts w:ascii="仿宋" w:hAnsi="仿宋" w:eastAsia="仿宋"/>
                <w:b w:val="0"/>
                <w:i w:val="0"/>
                <w:caps w:val="0"/>
                <w:spacing w:val="0"/>
                <w:w w:val="100"/>
                <w:kern w:val="2"/>
                <w:sz w:val="21"/>
                <w:szCs w:val="21"/>
                <w:lang w:val="en-US" w:eastAsia="zh-CN" w:bidi="ar-SA"/>
              </w:rPr>
              <w:t>本校经费总计</w:t>
            </w:r>
          </w:p>
        </w:tc>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c>
          <w:tcPr>
            <w:tcW w:w="295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21"/>
                <w:szCs w:val="21"/>
                <w:lang w:val="en-US" w:eastAsia="zh-CN" w:bidi="ar-SA"/>
              </w:rPr>
            </w:pPr>
          </w:p>
        </w:tc>
      </w:tr>
    </w:tbl>
    <w:p>
      <w:pPr>
        <w:snapToGrid/>
        <w:spacing w:before="0" w:beforeAutospacing="0" w:after="0" w:afterAutospacing="0" w:line="540" w:lineRule="exact"/>
        <w:jc w:val="both"/>
        <w:textAlignment w:val="baseline"/>
        <w:rPr>
          <w:rStyle w:val="7"/>
          <w:rFonts w:ascii="仿宋" w:hAnsi="仿宋" w:eastAsia="仿宋"/>
          <w:b w:val="0"/>
          <w:i w:val="0"/>
          <w:caps w:val="0"/>
          <w:spacing w:val="0"/>
          <w:w w:val="100"/>
          <w:kern w:val="2"/>
          <w:sz w:val="32"/>
          <w:szCs w:val="32"/>
          <w:lang w:val="en-US" w:eastAsia="zh-CN" w:bidi="ar-SA"/>
        </w:rPr>
      </w:pPr>
    </w:p>
    <w:p>
      <w:pPr>
        <w:snapToGrid/>
        <w:spacing w:before="0" w:beforeAutospacing="0" w:after="0" w:afterAutospacing="0" w:line="540" w:lineRule="exact"/>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附件2</w:t>
      </w:r>
    </w:p>
    <w:p>
      <w:pPr>
        <w:snapToGrid/>
        <w:spacing w:before="0" w:beforeAutospacing="0" w:after="0" w:afterAutospacing="0" w:line="540" w:lineRule="exact"/>
        <w:ind w:left="1680" w:hanging="1897"/>
        <w:jc w:val="center"/>
        <w:textAlignment w:val="baseline"/>
        <w:outlineLvl w:val="0"/>
        <w:rPr>
          <w:rStyle w:val="7"/>
          <w:rFonts w:ascii="仿宋" w:hAnsi="仿宋" w:eastAsia="仿宋" w:cs="仿宋"/>
          <w:b/>
          <w:bCs/>
          <w:i w:val="0"/>
          <w:caps w:val="0"/>
          <w:spacing w:val="0"/>
          <w:w w:val="100"/>
          <w:kern w:val="2"/>
          <w:sz w:val="36"/>
          <w:szCs w:val="36"/>
          <w:lang w:val="en-US" w:eastAsia="zh-CN" w:bidi="ar-SA"/>
        </w:rPr>
      </w:pPr>
      <w:r>
        <w:rPr>
          <w:rStyle w:val="7"/>
          <w:rFonts w:ascii="仿宋" w:hAnsi="仿宋" w:eastAsia="仿宋" w:cs="仿宋"/>
          <w:b/>
          <w:bCs/>
          <w:i w:val="0"/>
          <w:caps w:val="0"/>
          <w:spacing w:val="0"/>
          <w:w w:val="100"/>
          <w:kern w:val="2"/>
          <w:sz w:val="36"/>
          <w:szCs w:val="36"/>
          <w:lang w:val="en-US" w:eastAsia="zh-CN" w:bidi="ar-SA"/>
        </w:rPr>
        <w:t>贵州省普通本科高校一流大学一期重点建设项目（含培育）建设推进表</w:t>
      </w:r>
    </w:p>
    <w:p>
      <w:pPr>
        <w:snapToGrid/>
        <w:spacing w:before="0" w:beforeAutospacing="0" w:after="0" w:afterAutospacing="0" w:line="540" w:lineRule="exact"/>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报送学校：（公章）                    报送时间：                   联系人：</w:t>
      </w:r>
    </w:p>
    <w:tbl>
      <w:tblPr>
        <w:tblStyle w:val="4"/>
        <w:tblW w:w="1368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921"/>
        <w:gridCol w:w="960"/>
        <w:gridCol w:w="3300"/>
        <w:gridCol w:w="4395"/>
        <w:gridCol w:w="2685"/>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57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序号</w:t>
            </w: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项目类别</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项目名称</w:t>
            </w:r>
          </w:p>
        </w:tc>
        <w:tc>
          <w:tcPr>
            <w:tcW w:w="1038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项目推进情况</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存在的问题和建议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atLeast"/>
        </w:trPr>
        <w:tc>
          <w:tcPr>
            <w:tcW w:w="57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项目总体推进情况</w:t>
            </w: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20</w:t>
            </w:r>
            <w:r>
              <w:rPr>
                <w:rStyle w:val="7"/>
                <w:rFonts w:ascii="仿宋_GB2312" w:hAnsi="仿宋_GB2312" w:eastAsia="仿宋_GB2312"/>
                <w:b/>
                <w:i w:val="0"/>
                <w:caps w:val="0"/>
                <w:spacing w:val="0"/>
                <w:w w:val="100"/>
                <w:kern w:val="2"/>
                <w:sz w:val="21"/>
                <w:szCs w:val="21"/>
                <w:u w:val="single"/>
                <w:lang w:val="en-US" w:eastAsia="zh-CN" w:bidi="ar-SA"/>
              </w:rPr>
              <w:t xml:space="preserve">  </w:t>
            </w:r>
            <w:r>
              <w:rPr>
                <w:rStyle w:val="7"/>
                <w:rFonts w:ascii="仿宋_GB2312" w:hAnsi="仿宋_GB2312" w:eastAsia="仿宋_GB2312"/>
                <w:b/>
                <w:i w:val="0"/>
                <w:caps w:val="0"/>
                <w:spacing w:val="0"/>
                <w:w w:val="100"/>
                <w:kern w:val="2"/>
                <w:sz w:val="21"/>
                <w:szCs w:val="21"/>
                <w:lang w:val="en-US" w:eastAsia="zh-CN" w:bidi="ar-SA"/>
              </w:rPr>
              <w:t>年</w:t>
            </w:r>
            <w:r>
              <w:rPr>
                <w:rStyle w:val="7"/>
                <w:rFonts w:ascii="仿宋_GB2312" w:hAnsi="仿宋_GB2312" w:eastAsia="仿宋_GB2312"/>
                <w:b/>
                <w:i w:val="0"/>
                <w:caps w:val="0"/>
                <w:spacing w:val="0"/>
                <w:w w:val="100"/>
                <w:kern w:val="2"/>
                <w:sz w:val="21"/>
                <w:szCs w:val="21"/>
                <w:u w:val="single"/>
                <w:lang w:val="en-US" w:eastAsia="zh-CN" w:bidi="ar-SA"/>
              </w:rPr>
              <w:t>上（下）</w:t>
            </w:r>
            <w:r>
              <w:rPr>
                <w:rStyle w:val="7"/>
                <w:rFonts w:ascii="仿宋_GB2312" w:hAnsi="仿宋_GB2312" w:eastAsia="仿宋_GB2312"/>
                <w:b/>
                <w:i w:val="0"/>
                <w:caps w:val="0"/>
                <w:spacing w:val="0"/>
                <w:w w:val="100"/>
                <w:kern w:val="2"/>
                <w:sz w:val="21"/>
                <w:szCs w:val="21"/>
                <w:lang w:val="en-US" w:eastAsia="zh-CN" w:bidi="ar-SA"/>
              </w:rPr>
              <w:t>半年项目建设进展情况</w:t>
            </w: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r>
              <w:rPr>
                <w:rStyle w:val="7"/>
                <w:rFonts w:ascii="仿宋_GB2312" w:hAnsi="仿宋_GB2312" w:eastAsia="仿宋_GB2312"/>
                <w:b/>
                <w:i w:val="0"/>
                <w:caps w:val="0"/>
                <w:spacing w:val="0"/>
                <w:w w:val="100"/>
                <w:kern w:val="2"/>
                <w:sz w:val="21"/>
                <w:szCs w:val="21"/>
                <w:lang w:val="en-US" w:eastAsia="zh-CN" w:bidi="ar-SA"/>
              </w:rPr>
              <w:t>资金使用情况</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5"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1</w:t>
            </w: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专业建设项目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例：会计学</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both"/>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截至</w:t>
            </w:r>
            <w:r>
              <w:rPr>
                <w:rStyle w:val="7"/>
                <w:rFonts w:ascii="仿宋_GB2312" w:hAnsi="仿宋_GB2312" w:eastAsia="仿宋_GB2312"/>
                <w:b w:val="0"/>
                <w:i w:val="0"/>
                <w:caps w:val="0"/>
                <w:spacing w:val="0"/>
                <w:w w:val="100"/>
                <w:kern w:val="2"/>
                <w:sz w:val="21"/>
                <w:szCs w:val="21"/>
                <w:u w:val="single"/>
                <w:lang w:val="en-US" w:eastAsia="zh-CN" w:bidi="ar-SA"/>
              </w:rPr>
              <w:t xml:space="preserve">    </w:t>
            </w:r>
            <w:r>
              <w:rPr>
                <w:rStyle w:val="7"/>
                <w:rFonts w:ascii="仿宋_GB2312" w:hAnsi="仿宋_GB2312" w:eastAsia="仿宋_GB2312"/>
                <w:b w:val="0"/>
                <w:i w:val="0"/>
                <w:caps w:val="0"/>
                <w:spacing w:val="0"/>
                <w:w w:val="100"/>
                <w:kern w:val="2"/>
                <w:sz w:val="21"/>
                <w:szCs w:val="21"/>
                <w:lang w:val="en-US" w:eastAsia="zh-CN" w:bidi="ar-SA"/>
              </w:rPr>
              <w:t>年</w:t>
            </w:r>
            <w:r>
              <w:rPr>
                <w:rStyle w:val="7"/>
                <w:rFonts w:ascii="仿宋_GB2312" w:hAnsi="仿宋_GB2312" w:eastAsia="仿宋_GB2312"/>
                <w:b w:val="0"/>
                <w:i w:val="0"/>
                <w:caps w:val="0"/>
                <w:spacing w:val="0"/>
                <w:w w:val="100"/>
                <w:kern w:val="2"/>
                <w:sz w:val="21"/>
                <w:szCs w:val="21"/>
                <w:u w:val="single"/>
                <w:lang w:val="en-US" w:eastAsia="zh-CN" w:bidi="ar-SA"/>
              </w:rPr>
              <w:t xml:space="preserve">  </w:t>
            </w:r>
            <w:r>
              <w:rPr>
                <w:rStyle w:val="7"/>
                <w:rFonts w:ascii="仿宋_GB2312" w:hAnsi="仿宋_GB2312" w:eastAsia="仿宋_GB2312"/>
                <w:b w:val="0"/>
                <w:i w:val="0"/>
                <w:caps w:val="0"/>
                <w:spacing w:val="0"/>
                <w:w w:val="100"/>
                <w:kern w:val="2"/>
                <w:sz w:val="21"/>
                <w:szCs w:val="21"/>
                <w:lang w:val="en-US" w:eastAsia="zh-CN" w:bidi="ar-SA"/>
              </w:rPr>
              <w:t>月</w:t>
            </w:r>
            <w:r>
              <w:rPr>
                <w:rStyle w:val="7"/>
                <w:rFonts w:ascii="仿宋_GB2312" w:hAnsi="仿宋_GB2312" w:eastAsia="仿宋_GB2312"/>
                <w:b w:val="0"/>
                <w:i w:val="0"/>
                <w:caps w:val="0"/>
                <w:spacing w:val="0"/>
                <w:w w:val="100"/>
                <w:kern w:val="2"/>
                <w:sz w:val="21"/>
                <w:szCs w:val="21"/>
                <w:u w:val="single"/>
                <w:lang w:val="en-US" w:eastAsia="zh-CN" w:bidi="ar-SA"/>
              </w:rPr>
              <w:t xml:space="preserve">  </w:t>
            </w:r>
            <w:r>
              <w:rPr>
                <w:rStyle w:val="7"/>
                <w:rFonts w:ascii="仿宋_GB2312" w:hAnsi="仿宋_GB2312" w:eastAsia="仿宋_GB2312"/>
                <w:b w:val="0"/>
                <w:i w:val="0"/>
                <w:caps w:val="0"/>
                <w:spacing w:val="0"/>
                <w:w w:val="100"/>
                <w:kern w:val="2"/>
                <w:sz w:val="21"/>
                <w:szCs w:val="21"/>
                <w:lang w:val="en-US" w:eastAsia="zh-CN" w:bidi="ar-SA"/>
              </w:rPr>
              <w:t>日，该项目已使用资金</w:t>
            </w:r>
            <w:r>
              <w:rPr>
                <w:rStyle w:val="7"/>
                <w:rFonts w:ascii="仿宋_GB2312" w:hAnsi="仿宋_GB2312" w:eastAsia="仿宋_GB2312"/>
                <w:b w:val="0"/>
                <w:i w:val="0"/>
                <w:caps w:val="0"/>
                <w:spacing w:val="0"/>
                <w:w w:val="100"/>
                <w:kern w:val="2"/>
                <w:sz w:val="21"/>
                <w:szCs w:val="21"/>
                <w:u w:val="single"/>
                <w:lang w:val="en-US" w:eastAsia="zh-CN" w:bidi="ar-SA"/>
              </w:rPr>
              <w:t xml:space="preserve">    </w:t>
            </w:r>
            <w:r>
              <w:rPr>
                <w:rStyle w:val="7"/>
                <w:rFonts w:ascii="仿宋_GB2312" w:hAnsi="仿宋_GB2312" w:eastAsia="仿宋_GB2312"/>
                <w:b w:val="0"/>
                <w:i w:val="0"/>
                <w:caps w:val="0"/>
                <w:spacing w:val="0"/>
                <w:w w:val="100"/>
                <w:kern w:val="2"/>
                <w:sz w:val="21"/>
                <w:szCs w:val="21"/>
                <w:lang w:val="en-US" w:eastAsia="zh-CN" w:bidi="ar-SA"/>
              </w:rPr>
              <w:t xml:space="preserve"> 万元，其中中央支持地方高校改革发展资金资金</w:t>
            </w:r>
            <w:r>
              <w:rPr>
                <w:rStyle w:val="7"/>
                <w:rFonts w:ascii="仿宋_GB2312" w:hAnsi="仿宋_GB2312" w:eastAsia="仿宋_GB2312"/>
                <w:b w:val="0"/>
                <w:i w:val="0"/>
                <w:caps w:val="0"/>
                <w:spacing w:val="0"/>
                <w:w w:val="100"/>
                <w:kern w:val="2"/>
                <w:sz w:val="21"/>
                <w:szCs w:val="21"/>
                <w:u w:val="single"/>
                <w:lang w:val="en-US" w:eastAsia="zh-CN" w:bidi="ar-SA"/>
              </w:rPr>
              <w:t xml:space="preserve">    </w:t>
            </w:r>
            <w:r>
              <w:rPr>
                <w:rStyle w:val="7"/>
                <w:rFonts w:ascii="仿宋_GB2312" w:hAnsi="仿宋_GB2312" w:eastAsia="仿宋_GB2312"/>
                <w:b w:val="0"/>
                <w:i w:val="0"/>
                <w:caps w:val="0"/>
                <w:spacing w:val="0"/>
                <w:w w:val="100"/>
                <w:kern w:val="2"/>
                <w:sz w:val="21"/>
                <w:szCs w:val="21"/>
                <w:lang w:val="en-US" w:eastAsia="zh-CN" w:bidi="ar-SA"/>
              </w:rPr>
              <w:t>万元，学校配套资金</w:t>
            </w:r>
            <w:r>
              <w:rPr>
                <w:rStyle w:val="7"/>
                <w:rFonts w:ascii="仿宋_GB2312" w:hAnsi="仿宋_GB2312" w:eastAsia="仿宋_GB2312"/>
                <w:b w:val="0"/>
                <w:i w:val="0"/>
                <w:caps w:val="0"/>
                <w:spacing w:val="0"/>
                <w:w w:val="100"/>
                <w:kern w:val="2"/>
                <w:sz w:val="21"/>
                <w:szCs w:val="21"/>
                <w:u w:val="single"/>
                <w:lang w:val="en-US" w:eastAsia="zh-CN" w:bidi="ar-SA"/>
              </w:rPr>
              <w:t xml:space="preserve">   </w:t>
            </w:r>
            <w:r>
              <w:rPr>
                <w:rStyle w:val="7"/>
                <w:rFonts w:ascii="仿宋_GB2312" w:hAnsi="仿宋_GB2312" w:eastAsia="仿宋_GB2312"/>
                <w:b w:val="0"/>
                <w:i w:val="0"/>
                <w:caps w:val="0"/>
                <w:spacing w:val="0"/>
                <w:w w:val="100"/>
                <w:kern w:val="2"/>
                <w:sz w:val="21"/>
                <w:szCs w:val="21"/>
                <w:lang w:val="en-US" w:eastAsia="zh-CN" w:bidi="ar-SA"/>
              </w:rPr>
              <w:t xml:space="preserve"> 万元。具体开支如下：</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both"/>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1"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专业培育项目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平台建设项目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8"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平台培育项目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师资团队建设项目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6"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师资团队培育项目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课程建设项目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5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课程建设项目</w:t>
            </w:r>
          </w:p>
        </w:tc>
        <w:tc>
          <w:tcPr>
            <w:tcW w:w="9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r>
              <w:rPr>
                <w:rStyle w:val="7"/>
                <w:rFonts w:ascii="仿宋_GB2312" w:hAnsi="仿宋_GB2312" w:eastAsia="仿宋_GB2312"/>
                <w:b w:val="0"/>
                <w:i w:val="0"/>
                <w:caps w:val="0"/>
                <w:spacing w:val="0"/>
                <w:w w:val="100"/>
                <w:kern w:val="2"/>
                <w:sz w:val="21"/>
                <w:szCs w:val="21"/>
                <w:lang w:val="en-US" w:eastAsia="zh-CN" w:bidi="ar-SA"/>
              </w:rPr>
              <w:t>……</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40" w:lineRule="exact"/>
              <w:jc w:val="center"/>
              <w:textAlignment w:val="baseline"/>
              <w:rPr>
                <w:rStyle w:val="7"/>
                <w:rFonts w:ascii="仿宋_GB2312" w:hAnsi="仿宋_GB2312" w:eastAsia="仿宋_GB2312"/>
                <w:b w:val="0"/>
                <w:i w:val="0"/>
                <w:caps w:val="0"/>
                <w:spacing w:val="0"/>
                <w:w w:val="100"/>
                <w:kern w:val="2"/>
                <w:sz w:val="21"/>
                <w:szCs w:val="21"/>
                <w:lang w:val="en-US" w:eastAsia="zh-CN" w:bidi="ar-SA"/>
              </w:rPr>
            </w:pPr>
          </w:p>
        </w:tc>
      </w:tr>
    </w:tbl>
    <w:p>
      <w:pPr>
        <w:widowControl/>
        <w:shd w:val="clear" w:color="auto" w:fill="FFFFFF"/>
        <w:snapToGrid/>
        <w:spacing w:before="0" w:beforeAutospacing="0" w:after="0" w:afterAutospacing="0" w:line="540" w:lineRule="exact"/>
        <w:ind w:firstLine="0"/>
        <w:jc w:val="left"/>
        <w:textAlignment w:val="baseline"/>
        <w:rPr>
          <w:rStyle w:val="7"/>
          <w:rFonts w:ascii="仿宋" w:hAnsi="仿宋" w:eastAsia="仿宋"/>
          <w:b w:val="0"/>
          <w:i w:val="0"/>
          <w:caps w:val="0"/>
          <w:color w:val="333333"/>
          <w:spacing w:val="0"/>
          <w:w w:val="100"/>
          <w:kern w:val="0"/>
          <w:sz w:val="32"/>
          <w:szCs w:val="32"/>
          <w:lang w:val="en-US" w:eastAsia="zh-CN" w:bidi="ar-SA"/>
        </w:rPr>
      </w:pPr>
    </w:p>
    <w:sectPr>
      <w:pgSz w:w="16838" w:h="11906"/>
      <w:pgMar w:top="1689" w:right="1440" w:bottom="1689" w:left="1440" w:header="851" w:footer="992" w:gutter="0"/>
      <w:paperSrc/>
      <w:lnNumType w:countBy="0"/>
      <w:cols w:space="425" w:num="1"/>
      <w:vAlign w:val="top"/>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kern w:val="2"/>
        <w:sz w:val="28"/>
        <w:szCs w:val="28"/>
        <w:lang w:val="en-US" w:eastAsia="zh-CN" w:bidi="ar-SA"/>
      </w:rPr>
    </w:pPr>
    <w:r>
      <w:rPr>
        <w:rStyle w:val="7"/>
        <w:kern w:val="2"/>
        <w:sz w:val="28"/>
        <w:szCs w:val="28"/>
        <w:lang w:val="en-US" w:eastAsia="zh-CN" w:bidi="ar-SA"/>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idowControl/>
                            <w:snapToGrid w:val="0"/>
                            <w:jc w:val="left"/>
                            <w:textAlignment w:val="baseline"/>
                            <w:rPr>
                              <w:rStyle w:val="7"/>
                              <w:rFonts w:ascii="仿宋" w:hAnsi="仿宋" w:eastAsia="仿宋"/>
                              <w:kern w:val="2"/>
                              <w:sz w:val="28"/>
                              <w:szCs w:val="28"/>
                              <w:lang w:val="en-US" w:eastAsia="zh-CN" w:bidi="ar-SA"/>
                            </w:rPr>
                          </w:pPr>
                        </w:p>
                        <w:p>
                          <w:pPr>
                            <w:jc w:val="both"/>
                            <w:textAlignment w:val="baseline"/>
                            <w:rPr>
                              <w:rStyle w:val="7"/>
                              <w:kern w:val="2"/>
                              <w:sz w:val="21"/>
                              <w:szCs w:val="24"/>
                              <w:lang w:val="en-US" w:eastAsia="zh-CN" w:bidi="ar-SA"/>
                            </w:rPr>
                          </w:pPr>
                        </w:p>
                      </w:txbxContent>
                    </wps:txbx>
                    <wps:bodyPr lIns="0" tIns="0" rIns="0" bIns="0" anchor="t" anchorCtr="0" upright="1"/>
                  </wps:wsp>
                </a:graphicData>
              </a:graphic>
            </wp:anchor>
          </w:drawing>
        </mc:Choice>
        <mc:Fallback>
          <w:pict>
            <v:shape id="文本框 1"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pPZA0gAAAAUBAAAPAAAAAAAA&#10;AAEAIAAAACIAAABkcnMvZG93bnJldi54bWxQSwECFAAUAAAACACHTuJA07cuUqYBAAA+AwAADgAA&#10;AAAAAAABACAAAAAhAQAAZHJzL2Uyb0RvYy54bWxQSwUGAAAAAAYABgBZAQAAOQUAAAAA&#10;">
              <v:fill on="f" focussize="0,0"/>
              <v:stroke on="f"/>
              <v:imagedata o:title=""/>
              <o:lock v:ext="edit" aspectratio="f"/>
              <v:textbox inset="0mm,0mm,0mm,0mm">
                <w:txbxContent>
                  <w:p>
                    <w:pPr>
                      <w:pStyle w:val="2"/>
                      <w:widowControl/>
                      <w:snapToGrid w:val="0"/>
                      <w:jc w:val="left"/>
                      <w:textAlignment w:val="baseline"/>
                      <w:rPr>
                        <w:rStyle w:val="7"/>
                        <w:rFonts w:ascii="仿宋" w:hAnsi="仿宋" w:eastAsia="仿宋"/>
                        <w:kern w:val="2"/>
                        <w:sz w:val="28"/>
                        <w:szCs w:val="28"/>
                        <w:lang w:val="en-US" w:eastAsia="zh-CN" w:bidi="ar-SA"/>
                      </w:rPr>
                    </w:pPr>
                  </w:p>
                  <w:p>
                    <w:pPr>
                      <w:jc w:val="both"/>
                      <w:textAlignment w:val="baseline"/>
                      <w:rPr>
                        <w:rStyle w:val="7"/>
                        <w:kern w:val="2"/>
                        <w:sz w:val="21"/>
                        <w:szCs w:val="24"/>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94B9"/>
    <w:multiLevelType w:val="singleLevel"/>
    <w:tmpl w:val="0CF294B9"/>
    <w:lvl w:ilvl="0" w:tentative="0">
      <w:start w:val="6"/>
      <w:numFmt w:val="chineseCounting"/>
      <w:suff w:val="space"/>
      <w:lvlText w:val="第%1章"/>
      <w:lvlJc w:val="left"/>
      <w:pPr>
        <w:widowControl/>
        <w:ind w:left="3203" w:firstLine="0"/>
        <w:textAlignment w:val="baseline"/>
      </w:pPr>
      <w:rPr>
        <w:rStyle w:val="7"/>
      </w:rPr>
    </w:lvl>
  </w:abstractNum>
  <w:abstractNum w:abstractNumId="1">
    <w:nsid w:val="5CEA91DD"/>
    <w:multiLevelType w:val="singleLevel"/>
    <w:tmpl w:val="5CEA91DD"/>
    <w:lvl w:ilvl="0" w:tentative="0">
      <w:start w:val="2"/>
      <w:numFmt w:val="chineseCounting"/>
      <w:suff w:val="space"/>
      <w:lvlText w:val="第%1章"/>
      <w:lvlJc w:val="left"/>
      <w:pPr>
        <w:widowControl/>
        <w:textAlignment w:val="baseline"/>
      </w:pPr>
      <w:rPr>
        <w:rStyle w:val="7"/>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66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szCs w:val="24"/>
      <w:lang w:val="en-US" w:eastAsia="zh-CN" w:bidi="ar-SA"/>
    </w:rPr>
  </w:style>
  <w:style w:type="character" w:styleId="6">
    <w:name w:val="Strong"/>
    <w:basedOn w:val="7"/>
    <w:link w:val="1"/>
    <w:uiPriority w:val="0"/>
    <w:rPr>
      <w:b/>
    </w:rPr>
  </w:style>
  <w:style w:type="character" w:customStyle="1" w:styleId="7">
    <w:name w:val="NormalCharacter"/>
    <w:link w:val="1"/>
    <w:semiHidden/>
    <w:uiPriority w:val="0"/>
  </w:style>
  <w:style w:type="character" w:styleId="8">
    <w:name w:val="FollowedHyperlink"/>
    <w:basedOn w:val="7"/>
    <w:link w:val="1"/>
    <w:uiPriority w:val="0"/>
    <w:rPr>
      <w:color w:val="333333"/>
    </w:rPr>
  </w:style>
  <w:style w:type="character" w:styleId="9">
    <w:name w:val="Hyperlink"/>
    <w:basedOn w:val="7"/>
    <w:link w:val="1"/>
    <w:uiPriority w:val="0"/>
    <w:rPr>
      <w:color w:val="333333"/>
    </w:rPr>
  </w:style>
  <w:style w:type="table" w:customStyle="1" w:styleId="10">
    <w:name w:val="TableNormal"/>
    <w:semiHidden/>
    <w:uiPriority w:val="0"/>
  </w:style>
  <w:style w:type="character" w:customStyle="1" w:styleId="11">
    <w:name w:val="HtmlCite"/>
    <w:basedOn w:val="7"/>
    <w:link w:val="1"/>
    <w:uiPriority w:val="0"/>
  </w:style>
  <w:style w:type="character" w:customStyle="1" w:styleId="12">
    <w:name w:val="AnnotationReference"/>
    <w:basedOn w:val="7"/>
    <w:link w:val="1"/>
    <w:uiPriority w:val="0"/>
    <w:rPr>
      <w:sz w:val="21"/>
      <w:szCs w:val="21"/>
    </w:rPr>
  </w:style>
  <w:style w:type="character" w:customStyle="1" w:styleId="13">
    <w:name w:val="HtmlVar"/>
    <w:basedOn w:val="7"/>
    <w:link w:val="1"/>
    <w:qFormat/>
    <w:uiPriority w:val="0"/>
  </w:style>
  <w:style w:type="character" w:customStyle="1" w:styleId="14">
    <w:name w:val="HtmlDfn"/>
    <w:basedOn w:val="7"/>
    <w:link w:val="1"/>
    <w:uiPriority w:val="0"/>
  </w:style>
  <w:style w:type="character" w:customStyle="1" w:styleId="15">
    <w:name w:val="HtmlCode"/>
    <w:basedOn w:val="7"/>
    <w:link w:val="1"/>
    <w:qFormat/>
    <w:uiPriority w:val="0"/>
    <w:rPr>
      <w:rFonts w:ascii="Courier New" w:hAnsi="Courier New"/>
      <w:sz w:val="20"/>
    </w:rPr>
  </w:style>
  <w:style w:type="character" w:customStyle="1" w:styleId="16">
    <w:name w:val="UserStyle_0"/>
    <w:basedOn w:val="7"/>
    <w:link w:val="1"/>
    <w:qFormat/>
    <w:uiPriority w:val="0"/>
  </w:style>
  <w:style w:type="character" w:customStyle="1" w:styleId="17">
    <w:name w:val="UserStyle_1"/>
    <w:basedOn w:val="7"/>
    <w:link w:val="1"/>
    <w:uiPriority w:val="0"/>
  </w:style>
  <w:style w:type="character" w:customStyle="1" w:styleId="18">
    <w:name w:val="UserStyle_2"/>
    <w:basedOn w:val="7"/>
    <w:link w:val="1"/>
    <w:uiPriority w:val="0"/>
  </w:style>
  <w:style w:type="character" w:customStyle="1" w:styleId="19">
    <w:name w:val="UserStyle_3"/>
    <w:basedOn w:val="7"/>
    <w:link w:val="1"/>
    <w:uiPriority w:val="0"/>
  </w:style>
  <w:style w:type="character" w:customStyle="1" w:styleId="20">
    <w:name w:val="UserStyle_4"/>
    <w:basedOn w:val="7"/>
    <w:link w:val="1"/>
    <w:uiPriority w:val="0"/>
    <w:rPr>
      <w:color w:val="557EE7"/>
    </w:rPr>
  </w:style>
  <w:style w:type="character" w:customStyle="1" w:styleId="21">
    <w:name w:val="UserStyle_5"/>
    <w:basedOn w:val="7"/>
    <w:link w:val="1"/>
    <w:uiPriority w:val="0"/>
    <w:rPr>
      <w:color w:val="025291"/>
    </w:rPr>
  </w:style>
  <w:style w:type="character" w:customStyle="1" w:styleId="22">
    <w:name w:val="UserStyle_6"/>
    <w:basedOn w:val="7"/>
    <w:link w:val="1"/>
    <w:uiPriority w:val="0"/>
  </w:style>
  <w:style w:type="character" w:customStyle="1" w:styleId="23">
    <w:name w:val="UserStyle_7"/>
    <w:basedOn w:val="7"/>
    <w:link w:val="24"/>
    <w:uiPriority w:val="0"/>
    <w:rPr>
      <w:kern w:val="2"/>
      <w:sz w:val="18"/>
      <w:szCs w:val="18"/>
    </w:rPr>
  </w:style>
  <w:style w:type="paragraph" w:customStyle="1" w:styleId="24">
    <w:name w:val="Acetate"/>
    <w:basedOn w:val="1"/>
    <w:link w:val="23"/>
    <w:qFormat/>
    <w:uiPriority w:val="0"/>
    <w:pPr>
      <w:jc w:val="both"/>
      <w:textAlignment w:val="baseline"/>
    </w:pPr>
    <w:rPr>
      <w:kern w:val="2"/>
      <w:sz w:val="18"/>
      <w:szCs w:val="18"/>
      <w:lang w:val="en-US" w:eastAsia="zh-CN" w:bidi="ar-SA"/>
    </w:rPr>
  </w:style>
  <w:style w:type="character" w:customStyle="1" w:styleId="25">
    <w:name w:val="UserStyle_8"/>
    <w:basedOn w:val="7"/>
    <w:link w:val="26"/>
    <w:qFormat/>
    <w:uiPriority w:val="0"/>
    <w:rPr>
      <w:kern w:val="2"/>
      <w:sz w:val="21"/>
      <w:szCs w:val="24"/>
    </w:rPr>
  </w:style>
  <w:style w:type="paragraph" w:customStyle="1" w:styleId="26">
    <w:name w:val="AnnotationText"/>
    <w:basedOn w:val="1"/>
    <w:link w:val="25"/>
    <w:qFormat/>
    <w:uiPriority w:val="0"/>
    <w:pPr>
      <w:jc w:val="left"/>
      <w:textAlignment w:val="baseline"/>
    </w:pPr>
  </w:style>
  <w:style w:type="character" w:customStyle="1" w:styleId="27">
    <w:name w:val="UserStyle_9"/>
    <w:basedOn w:val="7"/>
    <w:link w:val="1"/>
    <w:qFormat/>
    <w:uiPriority w:val="0"/>
    <w:rPr>
      <w:rFonts w:ascii="微软雅黑" w:hAnsi="微软雅黑" w:eastAsia="微软雅黑"/>
      <w:color w:val="888888"/>
      <w:sz w:val="25"/>
      <w:szCs w:val="25"/>
    </w:rPr>
  </w:style>
  <w:style w:type="character" w:customStyle="1" w:styleId="28">
    <w:name w:val="UserStyle_10"/>
    <w:basedOn w:val="7"/>
    <w:link w:val="1"/>
    <w:uiPriority w:val="0"/>
    <w:rPr>
      <w:color w:val="025291"/>
    </w:rPr>
  </w:style>
  <w:style w:type="character" w:customStyle="1" w:styleId="29">
    <w:name w:val="UserStyle_11"/>
    <w:basedOn w:val="25"/>
    <w:link w:val="30"/>
    <w:qFormat/>
    <w:uiPriority w:val="0"/>
    <w:rPr>
      <w:rFonts w:cs="Times New Roman"/>
      <w:b/>
      <w:bCs/>
      <w:kern w:val="2"/>
      <w:sz w:val="21"/>
      <w:szCs w:val="24"/>
    </w:rPr>
  </w:style>
  <w:style w:type="paragraph" w:customStyle="1" w:styleId="30">
    <w:name w:val="AnnotationSubject"/>
    <w:basedOn w:val="26"/>
    <w:next w:val="26"/>
    <w:link w:val="29"/>
    <w:qFormat/>
    <w:uiPriority w:val="0"/>
    <w:pPr>
      <w:jc w:val="left"/>
      <w:textAlignment w:val="baseline"/>
    </w:pPr>
    <w:rPr>
      <w:rFonts w:cs="Times New Roman"/>
      <w:b/>
      <w:bCs/>
    </w:rPr>
  </w:style>
  <w:style w:type="character" w:customStyle="1" w:styleId="31">
    <w:name w:val="UserStyle_12"/>
    <w:basedOn w:val="7"/>
    <w:link w:val="1"/>
    <w:uiPriority w:val="0"/>
  </w:style>
  <w:style w:type="character" w:customStyle="1" w:styleId="32">
    <w:name w:val="UserStyle_13"/>
    <w:basedOn w:val="7"/>
    <w:link w:val="1"/>
    <w:uiPriority w:val="0"/>
  </w:style>
  <w:style w:type="character" w:customStyle="1" w:styleId="33">
    <w:name w:val="UserStyle_14"/>
    <w:basedOn w:val="7"/>
    <w:link w:val="1"/>
    <w:qFormat/>
    <w:uiPriority w:val="0"/>
  </w:style>
  <w:style w:type="character" w:customStyle="1" w:styleId="34">
    <w:name w:val="UserStyle_15"/>
    <w:basedOn w:val="7"/>
    <w:link w:val="1"/>
    <w:uiPriority w:val="0"/>
  </w:style>
  <w:style w:type="character" w:customStyle="1" w:styleId="35">
    <w:name w:val="UserStyle_16"/>
    <w:basedOn w:val="7"/>
    <w:link w:val="1"/>
    <w:qFormat/>
    <w:uiPriority w:val="0"/>
    <w:rPr>
      <w:color w:val="FFFDF4"/>
      <w:shd w:val="clear" w:color="auto" w:fill="0B67A6"/>
    </w:rPr>
  </w:style>
  <w:style w:type="character" w:customStyle="1" w:styleId="36">
    <w:name w:val="UserStyle_17"/>
    <w:basedOn w:val="7"/>
    <w:link w:val="1"/>
    <w:qFormat/>
    <w:uiPriority w:val="0"/>
  </w:style>
  <w:style w:type="character" w:customStyle="1" w:styleId="37">
    <w:name w:val="UserStyle_18"/>
    <w:basedOn w:val="7"/>
    <w:link w:val="1"/>
    <w:qFormat/>
    <w:uiPriority w:val="0"/>
  </w:style>
  <w:style w:type="character" w:customStyle="1" w:styleId="38">
    <w:name w:val="UserStyle_19"/>
    <w:basedOn w:val="7"/>
    <w:link w:val="1"/>
    <w:qFormat/>
    <w:uiPriority w:val="0"/>
  </w:style>
  <w:style w:type="character" w:customStyle="1" w:styleId="39">
    <w:name w:val="UserStyle_20"/>
    <w:basedOn w:val="7"/>
    <w:link w:val="1"/>
    <w:qFormat/>
    <w:uiPriority w:val="0"/>
  </w:style>
  <w:style w:type="character" w:customStyle="1" w:styleId="40">
    <w:name w:val="UserStyle_21"/>
    <w:basedOn w:val="7"/>
    <w:link w:val="1"/>
    <w:qFormat/>
    <w:uiPriority w:val="0"/>
  </w:style>
  <w:style w:type="paragraph" w:customStyle="1" w:styleId="41">
    <w:name w:val="HtmlNormal"/>
    <w:basedOn w:val="1"/>
    <w:qFormat/>
    <w:uiPriority w:val="0"/>
    <w:pPr>
      <w:spacing w:before="100" w:beforeAutospacing="1" w:after="100" w:afterAutospacing="1"/>
      <w:ind w:left="0" w:right="0"/>
      <w:jc w:val="left"/>
      <w:textAlignment w:val="baseline"/>
    </w:pPr>
    <w:rPr>
      <w:kern w:val="0"/>
      <w:sz w:val="24"/>
      <w:szCs w:val="24"/>
      <w:lang w:val="en-US" w:eastAsia="zh-CN" w:bidi="ar-SA"/>
    </w:rPr>
  </w:style>
  <w:style w:type="paragraph" w:customStyle="1" w:styleId="42">
    <w:name w:val="UserStyle_22"/>
    <w:basedOn w:val="1"/>
    <w:qFormat/>
    <w:uiPriority w:val="0"/>
    <w:pPr>
      <w:widowControl/>
      <w:jc w:val="both"/>
      <w:textAlignment w:val="baseline"/>
    </w:pPr>
    <w:rPr>
      <w:rFonts w:ascii="Calibri" w:hAnsi="Calibri" w:eastAsia="宋体"/>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2020-12-31T06:46:21Z</dcterms:created>
  <dc:creator>jytwlzx</dc:creator>
  <cp:lastModifiedBy>jytwlzx</cp:lastModifiedBy>
  <dcterms:modified xsi:type="dcterms:W3CDTF">2020-12-31T06:52:42Z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