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D2AE4">
      <w:pPr>
        <w:pStyle w:val="7"/>
        <w:keepNext w:val="0"/>
        <w:keepLines w:val="0"/>
        <w:pageBreakBefore w:val="0"/>
        <w:widowControl/>
        <w:shd w:val="clear" w:color="auto" w:fill="FFFFFF"/>
        <w:kinsoku/>
        <w:wordWrap/>
        <w:overflowPunct/>
        <w:topLinePunct w:val="0"/>
        <w:autoSpaceDE/>
        <w:autoSpaceDN/>
        <w:bidi w:val="0"/>
        <w:adjustRightInd/>
        <w:snapToGrid/>
        <w:spacing w:line="520" w:lineRule="exact"/>
        <w:textAlignment w:val="auto"/>
        <w:rPr>
          <w:rFonts w:hint="eastAsia" w:ascii="黑体" w:hAnsi="黑体" w:eastAsia="黑体" w:cs="仿宋"/>
          <w:sz w:val="32"/>
          <w:szCs w:val="32"/>
          <w:shd w:val="clear" w:color="auto" w:fill="FFFFFF"/>
          <w:lang w:val="en-US" w:eastAsia="zh-CN"/>
        </w:rPr>
      </w:pPr>
      <w:r>
        <w:rPr>
          <w:rFonts w:hint="eastAsia" w:ascii="黑体" w:hAnsi="黑体" w:eastAsia="黑体" w:cs="仿宋"/>
          <w:sz w:val="32"/>
          <w:szCs w:val="32"/>
          <w:shd w:val="clear" w:color="auto" w:fill="FFFFFF"/>
        </w:rPr>
        <w:t>附件</w:t>
      </w:r>
      <w:r>
        <w:rPr>
          <w:rFonts w:hint="eastAsia" w:ascii="黑体" w:hAnsi="黑体" w:eastAsia="黑体" w:cs="仿宋"/>
          <w:sz w:val="32"/>
          <w:szCs w:val="32"/>
          <w:shd w:val="clear" w:color="auto" w:fill="FFFFFF"/>
          <w:lang w:val="en-US" w:eastAsia="zh-CN"/>
        </w:rPr>
        <w:t>3</w:t>
      </w:r>
    </w:p>
    <w:p w14:paraId="53DA816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p>
    <w:p w14:paraId="56CE138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rPr>
      </w:pPr>
      <w:r>
        <w:rPr>
          <w:rFonts w:hint="eastAsia" w:ascii="方正小标宋简体" w:hAnsi="方正小标宋简体" w:eastAsia="方正小标宋简体" w:cs="方正小标宋简体"/>
          <w:color w:val="000000"/>
          <w:spacing w:val="0"/>
          <w:w w:val="100"/>
          <w:sz w:val="44"/>
          <w:szCs w:val="44"/>
          <w:shd w:val="clear" w:color="auto" w:fill="FFFFFF"/>
          <w:lang w:val="en-US" w:eastAsia="zh-CN"/>
        </w:rPr>
        <w:t>高中男子超级冠军联赛</w:t>
      </w:r>
      <w:r>
        <w:rPr>
          <w:rFonts w:hint="eastAsia" w:ascii="方正小标宋简体" w:hAnsi="方正小标宋简体" w:eastAsia="方正小标宋简体" w:cs="方正小标宋简体"/>
          <w:sz w:val="44"/>
          <w:szCs w:val="44"/>
        </w:rPr>
        <w:t>竞赛规程</w:t>
      </w:r>
    </w:p>
    <w:p w14:paraId="120F3F0F">
      <w:pPr>
        <w:keepNext w:val="0"/>
        <w:keepLines w:val="0"/>
        <w:pageBreakBefore w:val="0"/>
        <w:tabs>
          <w:tab w:val="left" w:pos="540"/>
        </w:tabs>
        <w:kinsoku/>
        <w:wordWrap/>
        <w:overflowPunct/>
        <w:topLinePunct w:val="0"/>
        <w:autoSpaceDE/>
        <w:autoSpaceDN/>
        <w:bidi w:val="0"/>
        <w:adjustRightInd/>
        <w:snapToGrid/>
        <w:spacing w:line="560" w:lineRule="exact"/>
        <w:jc w:val="both"/>
        <w:textAlignment w:val="auto"/>
        <w:rPr>
          <w:rFonts w:hint="eastAsia" w:ascii="宋体" w:hAnsi="宋体" w:cs="宋体"/>
          <w:b/>
          <w:bCs/>
          <w:sz w:val="32"/>
          <w:szCs w:val="32"/>
        </w:rPr>
      </w:pPr>
    </w:p>
    <w:p w14:paraId="7A1ED546">
      <w:pPr>
        <w:keepNext w:val="0"/>
        <w:keepLines w:val="0"/>
        <w:pageBreakBefore w:val="0"/>
        <w:tabs>
          <w:tab w:val="left" w:pos="540"/>
        </w:tabs>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szCs w:val="22"/>
          <w:lang w:eastAsia="zh-CN"/>
        </w:rPr>
      </w:pPr>
      <w:r>
        <w:rPr>
          <w:rFonts w:hint="eastAsia" w:ascii="黑体" w:hAnsi="黑体" w:eastAsia="黑体" w:cs="黑体"/>
          <w:bCs/>
          <w:sz w:val="32"/>
          <w:szCs w:val="32"/>
        </w:rPr>
        <w:t>一、主办单位</w:t>
      </w:r>
      <w:r>
        <w:rPr>
          <w:rFonts w:hint="eastAsia" w:ascii="黑体" w:hAnsi="黑体" w:eastAsia="黑体" w:cs="黑体"/>
          <w:bCs/>
          <w:sz w:val="32"/>
          <w:szCs w:val="32"/>
          <w:lang w:eastAsia="zh-CN"/>
        </w:rPr>
        <w:t>：</w:t>
      </w:r>
      <w:r>
        <w:rPr>
          <w:rFonts w:hint="eastAsia" w:ascii="仿宋_GB2312" w:hAnsi="仿宋_GB2312" w:eastAsia="仿宋_GB2312" w:cs="仿宋_GB2312"/>
          <w:sz w:val="32"/>
          <w:szCs w:val="32"/>
        </w:rPr>
        <w:t>省教育厅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省体育局</w:t>
      </w:r>
    </w:p>
    <w:p w14:paraId="7B9CAB19">
      <w:pPr>
        <w:keepNext w:val="0"/>
        <w:keepLines w:val="0"/>
        <w:pageBreakBefore w:val="0"/>
        <w:tabs>
          <w:tab w:val="left" w:pos="540"/>
        </w:tabs>
        <w:kinsoku/>
        <w:wordWrap/>
        <w:overflowPunct/>
        <w:topLinePunct w:val="0"/>
        <w:autoSpaceDE/>
        <w:autoSpaceDN/>
        <w:bidi w:val="0"/>
        <w:adjustRightInd/>
        <w:snapToGrid/>
        <w:spacing w:line="560" w:lineRule="exact"/>
        <w:ind w:left="0" w:leftChars="0" w:firstLine="627" w:firstLineChars="196"/>
        <w:jc w:val="both"/>
        <w:textAlignment w:val="auto"/>
        <w:rPr>
          <w:rFonts w:hint="default" w:ascii="仿宋" w:hAnsi="仿宋" w:eastAsia="仿宋" w:cs="宋体"/>
          <w:sz w:val="32"/>
          <w:szCs w:val="32"/>
          <w:lang w:val="en-US" w:eastAsia="zh-CN"/>
        </w:rPr>
      </w:pPr>
      <w:r>
        <w:rPr>
          <w:rFonts w:hint="eastAsia" w:ascii="黑体" w:hAnsi="黑体" w:eastAsia="黑体" w:cs="黑体"/>
          <w:bCs/>
          <w:sz w:val="32"/>
          <w:szCs w:val="32"/>
        </w:rPr>
        <w:t>二、承办</w:t>
      </w:r>
      <w:r>
        <w:rPr>
          <w:rFonts w:hint="eastAsia" w:ascii="黑体" w:hAnsi="黑体" w:eastAsia="黑体" w:cs="黑体"/>
          <w:bCs/>
          <w:sz w:val="32"/>
          <w:szCs w:val="32"/>
          <w:lang w:val="en-US" w:eastAsia="zh-CN"/>
        </w:rPr>
        <w:t>及</w:t>
      </w:r>
      <w:r>
        <w:rPr>
          <w:rFonts w:hint="eastAsia" w:ascii="黑体" w:hAnsi="黑体" w:eastAsia="黑体" w:cs="黑体"/>
          <w:bCs/>
          <w:sz w:val="32"/>
          <w:szCs w:val="32"/>
        </w:rPr>
        <w:t>参赛单位</w:t>
      </w:r>
      <w:r>
        <w:rPr>
          <w:rFonts w:hint="eastAsia" w:ascii="黑体" w:hAnsi="黑体" w:eastAsia="黑体" w:cs="黑体"/>
          <w:bCs/>
          <w:sz w:val="32"/>
          <w:szCs w:val="32"/>
          <w:lang w:eastAsia="zh-CN"/>
        </w:rPr>
        <w:t>：</w:t>
      </w:r>
      <w:r>
        <w:rPr>
          <w:rFonts w:hint="eastAsia" w:ascii="仿宋_GB2312" w:hAnsi="仿宋_GB2312" w:eastAsia="仿宋_GB2312" w:cs="仿宋_GB2312"/>
          <w:sz w:val="32"/>
          <w:szCs w:val="32"/>
          <w:lang w:val="en-US" w:eastAsia="zh-CN"/>
        </w:rPr>
        <w:t>遵义市第一中学、贵阳市观山湖区第一高级中学、凯里市第一中学、贵州省实验中学、黔南州都匀市第一中学、凯里实验高级中学及2025—2026赛季“省长杯”全省青少年校园足球超级联赛中学组总决赛高中男子组前两名队伍。</w:t>
      </w:r>
    </w:p>
    <w:p w14:paraId="7CAA156F">
      <w:pPr>
        <w:keepNext w:val="0"/>
        <w:keepLines w:val="0"/>
        <w:pageBreakBefore w:val="0"/>
        <w:tabs>
          <w:tab w:val="left" w:pos="540"/>
        </w:tabs>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宋体"/>
          <w:b/>
          <w:sz w:val="32"/>
          <w:szCs w:val="32"/>
        </w:rPr>
      </w:pPr>
      <w:r>
        <w:rPr>
          <w:rFonts w:hint="eastAsia" w:ascii="黑体" w:hAnsi="黑体" w:eastAsia="黑体" w:cs="黑体"/>
          <w:bCs/>
          <w:sz w:val="32"/>
          <w:szCs w:val="32"/>
        </w:rPr>
        <w:t>三、协办单位</w:t>
      </w:r>
      <w:r>
        <w:rPr>
          <w:rFonts w:hint="eastAsia" w:ascii="黑体" w:hAnsi="黑体" w:eastAsia="黑体" w:cs="黑体"/>
          <w:bCs/>
          <w:sz w:val="32"/>
          <w:szCs w:val="32"/>
          <w:lang w:eastAsia="zh-CN"/>
        </w:rPr>
        <w:t>：</w:t>
      </w:r>
      <w:r>
        <w:rPr>
          <w:rFonts w:hint="eastAsia" w:ascii="仿宋_GB2312" w:hAnsi="仿宋_GB2312" w:eastAsia="仿宋_GB2312" w:cs="仿宋_GB2312"/>
          <w:sz w:val="32"/>
          <w:szCs w:val="32"/>
        </w:rPr>
        <w:t>省学生体育协会</w:t>
      </w:r>
    </w:p>
    <w:p w14:paraId="6B170C3E">
      <w:pPr>
        <w:keepNext w:val="0"/>
        <w:keepLines w:val="0"/>
        <w:pageBreakBefore w:val="0"/>
        <w:tabs>
          <w:tab w:val="left" w:pos="540"/>
        </w:tabs>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_GB2312" w:hAnsi="仿宋_GB2312" w:eastAsia="仿宋_GB2312" w:cs="仿宋_GB2312"/>
          <w:bCs/>
          <w:sz w:val="32"/>
          <w:szCs w:val="32"/>
          <w:lang w:eastAsia="zh-CN"/>
        </w:rPr>
      </w:pPr>
      <w:r>
        <w:rPr>
          <w:rFonts w:hint="eastAsia" w:ascii="黑体" w:hAnsi="黑体" w:eastAsia="黑体" w:cs="黑体"/>
          <w:bCs/>
          <w:sz w:val="32"/>
          <w:szCs w:val="32"/>
        </w:rPr>
        <w:t>四、比赛时间及地点</w:t>
      </w:r>
      <w:r>
        <w:rPr>
          <w:rFonts w:hint="eastAsia" w:ascii="黑体" w:hAnsi="黑体" w:eastAsia="黑体" w:cs="黑体"/>
          <w:bCs/>
          <w:sz w:val="32"/>
          <w:szCs w:val="32"/>
          <w:lang w:eastAsia="zh-CN"/>
        </w:rPr>
        <w:t>：</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26</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5月9日—6月21日</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个周中选取</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个</w:t>
      </w:r>
      <w:r>
        <w:rPr>
          <w:rFonts w:hint="eastAsia" w:ascii="仿宋_GB2312" w:hAnsi="仿宋_GB2312" w:eastAsia="仿宋_GB2312" w:cs="仿宋_GB2312"/>
          <w:bCs/>
          <w:sz w:val="32"/>
          <w:szCs w:val="32"/>
          <w:lang w:val="en-US" w:eastAsia="zh-CN"/>
        </w:rPr>
        <w:t>周末在各相关学校进行，其中1—2个周末将进行双赛</w:t>
      </w:r>
      <w:r>
        <w:rPr>
          <w:rFonts w:hint="eastAsia" w:ascii="仿宋_GB2312" w:hAnsi="仿宋_GB2312" w:eastAsia="仿宋_GB2312" w:cs="仿宋_GB2312"/>
          <w:bCs/>
          <w:sz w:val="32"/>
          <w:szCs w:val="32"/>
        </w:rPr>
        <w:t>。</w:t>
      </w:r>
    </w:p>
    <w:p w14:paraId="2F2EA4A2">
      <w:pPr>
        <w:keepNext w:val="0"/>
        <w:keepLines w:val="0"/>
        <w:pageBreakBefore w:val="0"/>
        <w:tabs>
          <w:tab w:val="left" w:pos="540"/>
        </w:tabs>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黑体" w:hAnsi="黑体" w:eastAsia="黑体" w:cs="黑体"/>
          <w:bCs/>
          <w:sz w:val="32"/>
          <w:szCs w:val="32"/>
        </w:rPr>
      </w:pPr>
      <w:r>
        <w:rPr>
          <w:rFonts w:hint="eastAsia" w:ascii="黑体" w:hAnsi="黑体" w:eastAsia="黑体" w:cs="黑体"/>
          <w:bCs/>
          <w:sz w:val="32"/>
          <w:szCs w:val="32"/>
        </w:rPr>
        <w:t>五、运动员参赛条件</w:t>
      </w:r>
    </w:p>
    <w:p w14:paraId="3C0EC7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省正式学籍、户籍的全日制在校在读学生（非我省户籍学生需达到我省学籍1年及以上）。</w:t>
      </w:r>
      <w:r>
        <w:rPr>
          <w:rFonts w:hint="eastAsia" w:ascii="仿宋_GB2312" w:hAnsi="仿宋_GB2312" w:eastAsia="仿宋_GB2312" w:cs="仿宋_GB2312"/>
          <w:color w:val="auto"/>
          <w:sz w:val="32"/>
          <w:szCs w:val="32"/>
        </w:rPr>
        <w:t>在“全国中小学生学籍信息管理系统”完成注册并通过审核（以省教育厅审核信息为准），</w:t>
      </w:r>
      <w:r>
        <w:rPr>
          <w:rFonts w:hint="eastAsia" w:ascii="仿宋_GB2312" w:hAnsi="仿宋_GB2312" w:eastAsia="仿宋_GB2312" w:cs="仿宋_GB2312"/>
          <w:color w:val="auto"/>
          <w:sz w:val="32"/>
          <w:szCs w:val="32"/>
          <w:lang w:val="en-US" w:eastAsia="zh-CN"/>
        </w:rPr>
        <w:t>年龄为</w:t>
      </w:r>
      <w:r>
        <w:rPr>
          <w:rFonts w:hint="eastAsia" w:ascii="仿宋_GB2312" w:hAnsi="仿宋_GB2312" w:eastAsia="仿宋_GB2312" w:cs="仿宋_GB2312"/>
          <w:color w:val="auto"/>
          <w:sz w:val="32"/>
          <w:szCs w:val="32"/>
          <w:highlight w:val="none"/>
          <w:lang w:val="en-US" w:eastAsia="zh-CN"/>
        </w:rPr>
        <w:t>2007年1月1日</w:t>
      </w:r>
      <w:r>
        <w:rPr>
          <w:rFonts w:hint="eastAsia" w:ascii="仿宋_GB2312" w:hAnsi="仿宋_GB2312" w:eastAsia="仿宋_GB2312" w:cs="仿宋_GB2312"/>
          <w:color w:val="auto"/>
          <w:sz w:val="32"/>
          <w:szCs w:val="32"/>
          <w:lang w:val="en-US" w:eastAsia="zh-CN"/>
        </w:rPr>
        <w:t>以后出生者，经二级甲等及以上医院检查证明身体健康适合足球运动者。职业俱乐部注册运动员、体育运动学校学生均不得参赛，中等职业学校体育类专业学生同时上场人数不得超过6名。</w:t>
      </w:r>
    </w:p>
    <w:p w14:paraId="5AB2FFAD">
      <w:pPr>
        <w:keepNext w:val="0"/>
        <w:keepLines w:val="0"/>
        <w:pageBreakBefore w:val="0"/>
        <w:tabs>
          <w:tab w:val="left" w:pos="540"/>
        </w:tabs>
        <w:kinsoku/>
        <w:wordWrap/>
        <w:overflowPunct/>
        <w:topLinePunct w:val="0"/>
        <w:autoSpaceDE/>
        <w:autoSpaceDN/>
        <w:bidi w:val="0"/>
        <w:adjustRightInd/>
        <w:spacing w:line="560" w:lineRule="exact"/>
        <w:ind w:left="0" w:leftChars="0" w:firstLine="627" w:firstLineChars="196"/>
        <w:jc w:val="both"/>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、教练员资格</w:t>
      </w:r>
    </w:p>
    <w:p w14:paraId="1E6A762D">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（一）</w:t>
      </w:r>
      <w:r>
        <w:rPr>
          <w:rFonts w:hint="eastAsia" w:ascii="仿宋" w:hAnsi="仿宋" w:eastAsia="仿宋" w:cs="宋体"/>
          <w:sz w:val="32"/>
          <w:szCs w:val="32"/>
        </w:rPr>
        <w:t>教练员必须是本校在职在编教师（如为其他形式聘用人员，学校需加强师德师风、风险防控等方面的管理）</w:t>
      </w:r>
      <w:r>
        <w:rPr>
          <w:rFonts w:hint="eastAsia" w:ascii="仿宋" w:hAnsi="仿宋" w:eastAsia="仿宋" w:cs="宋体"/>
          <w:sz w:val="32"/>
          <w:szCs w:val="32"/>
          <w:lang w:eastAsia="zh-CN"/>
        </w:rPr>
        <w:t>。</w:t>
      </w:r>
    </w:p>
    <w:p w14:paraId="7B80D299">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宋体"/>
          <w:sz w:val="32"/>
          <w:szCs w:val="32"/>
        </w:rPr>
      </w:pPr>
      <w:r>
        <w:rPr>
          <w:rFonts w:hint="eastAsia" w:ascii="仿宋" w:hAnsi="仿宋" w:eastAsia="仿宋" w:cs="宋体"/>
          <w:sz w:val="32"/>
          <w:szCs w:val="32"/>
          <w:lang w:eastAsia="zh-CN"/>
        </w:rPr>
        <w:t>（二）</w:t>
      </w:r>
      <w:r>
        <w:rPr>
          <w:rFonts w:hint="eastAsia" w:ascii="仿宋" w:hAnsi="仿宋" w:eastAsia="仿宋" w:cs="宋体"/>
          <w:sz w:val="32"/>
          <w:szCs w:val="32"/>
        </w:rPr>
        <w:t>凡带队参加联赛的教练员必须具备中国足协颁发的D级及以上教练员执教资格证</w:t>
      </w:r>
      <w:r>
        <w:rPr>
          <w:rFonts w:hint="eastAsia" w:ascii="仿宋" w:hAnsi="仿宋" w:eastAsia="仿宋" w:cs="宋体"/>
          <w:sz w:val="32"/>
          <w:szCs w:val="32"/>
          <w:lang w:val="en-US" w:eastAsia="zh-CN"/>
        </w:rPr>
        <w:t>或参加过</w:t>
      </w:r>
      <w:r>
        <w:rPr>
          <w:rFonts w:hint="eastAsia" w:ascii="仿宋" w:hAnsi="仿宋" w:eastAsia="仿宋" w:cs="宋体"/>
          <w:sz w:val="32"/>
          <w:szCs w:val="32"/>
        </w:rPr>
        <w:t>教育部校园足球</w:t>
      </w:r>
      <w:r>
        <w:rPr>
          <w:rFonts w:hint="eastAsia" w:ascii="仿宋" w:hAnsi="仿宋" w:eastAsia="仿宋" w:cs="宋体"/>
          <w:sz w:val="32"/>
          <w:szCs w:val="32"/>
          <w:lang w:eastAsia="zh-CN"/>
        </w:rPr>
        <w:t>海外</w:t>
      </w:r>
      <w:r>
        <w:rPr>
          <w:rFonts w:hint="eastAsia" w:ascii="仿宋" w:hAnsi="仿宋" w:eastAsia="仿宋" w:cs="宋体"/>
          <w:sz w:val="32"/>
          <w:szCs w:val="32"/>
        </w:rPr>
        <w:t>留学</w:t>
      </w:r>
      <w:r>
        <w:rPr>
          <w:rFonts w:hint="eastAsia" w:ascii="仿宋" w:hAnsi="仿宋" w:eastAsia="仿宋" w:cs="宋体"/>
          <w:sz w:val="32"/>
          <w:szCs w:val="32"/>
          <w:lang w:eastAsia="zh-CN"/>
        </w:rPr>
        <w:t>计划</w:t>
      </w:r>
      <w:r>
        <w:rPr>
          <w:rFonts w:hint="eastAsia" w:ascii="仿宋" w:hAnsi="仿宋" w:eastAsia="仿宋" w:cs="宋体"/>
          <w:sz w:val="32"/>
          <w:szCs w:val="32"/>
        </w:rPr>
        <w:t>。</w:t>
      </w:r>
    </w:p>
    <w:p w14:paraId="6F0C9EFE">
      <w:pPr>
        <w:keepNext w:val="0"/>
        <w:keepLines w:val="0"/>
        <w:pageBreakBefore w:val="0"/>
        <w:tabs>
          <w:tab w:val="left" w:pos="540"/>
        </w:tabs>
        <w:kinsoku/>
        <w:wordWrap/>
        <w:overflowPunct/>
        <w:topLinePunct w:val="0"/>
        <w:autoSpaceDE/>
        <w:autoSpaceDN/>
        <w:bidi w:val="0"/>
        <w:adjustRightInd/>
        <w:spacing w:line="560" w:lineRule="exact"/>
        <w:ind w:left="0" w:leftChars="0" w:firstLine="627" w:firstLineChars="196"/>
        <w:jc w:val="both"/>
        <w:textAlignment w:val="auto"/>
        <w:rPr>
          <w:rFonts w:hint="eastAsia" w:ascii="仿宋" w:hAnsi="仿宋" w:eastAsia="仿宋" w:cs="宋体"/>
          <w:b/>
          <w:color w:val="auto"/>
          <w:sz w:val="32"/>
          <w:szCs w:val="32"/>
        </w:rPr>
      </w:pPr>
      <w:r>
        <w:rPr>
          <w:rFonts w:hint="eastAsia" w:ascii="黑体" w:hAnsi="黑体" w:eastAsia="黑体" w:cs="黑体"/>
          <w:bCs/>
          <w:color w:val="auto"/>
          <w:sz w:val="32"/>
          <w:szCs w:val="32"/>
          <w:lang w:val="en-US" w:eastAsia="zh-CN"/>
        </w:rPr>
        <w:t>七</w:t>
      </w:r>
      <w:r>
        <w:rPr>
          <w:rFonts w:hint="eastAsia" w:ascii="黑体" w:hAnsi="黑体" w:eastAsia="黑体" w:cs="黑体"/>
          <w:bCs/>
          <w:color w:val="auto"/>
          <w:sz w:val="32"/>
          <w:szCs w:val="32"/>
        </w:rPr>
        <w:t>、竞赛办法</w:t>
      </w:r>
    </w:p>
    <w:p w14:paraId="76FED058">
      <w:pPr>
        <w:keepNext w:val="0"/>
        <w:keepLines w:val="0"/>
        <w:pageBreakBefore w:val="0"/>
        <w:widowControl/>
        <w:kinsoku/>
        <w:wordWrap/>
        <w:overflowPunct/>
        <w:topLinePunct w:val="0"/>
        <w:autoSpaceDE/>
        <w:autoSpaceDN/>
        <w:bidi w:val="0"/>
        <w:adjustRightInd/>
        <w:snapToGrid w:val="0"/>
        <w:spacing w:line="560" w:lineRule="exact"/>
        <w:ind w:left="0" w:leftChars="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（一）联赛采用</w:t>
      </w:r>
      <w:r>
        <w:rPr>
          <w:rFonts w:hint="eastAsia" w:ascii="仿宋_GB2312" w:hAnsi="仿宋_GB2312" w:eastAsia="仿宋_GB2312" w:cs="仿宋_GB2312"/>
          <w:sz w:val="32"/>
          <w:szCs w:val="32"/>
          <w:lang w:eastAsia="zh-CN"/>
        </w:rPr>
        <w:t>赛会制</w:t>
      </w:r>
      <w:r>
        <w:rPr>
          <w:rFonts w:hint="eastAsia" w:ascii="仿宋_GB2312" w:hAnsi="仿宋_GB2312" w:eastAsia="仿宋_GB2312" w:cs="仿宋_GB2312"/>
          <w:sz w:val="32"/>
          <w:szCs w:val="32"/>
        </w:rPr>
        <w:t>主客场</w:t>
      </w:r>
      <w:r>
        <w:rPr>
          <w:rFonts w:hint="eastAsia" w:ascii="仿宋_GB2312" w:hAnsi="仿宋_GB2312" w:eastAsia="仿宋_GB2312" w:cs="仿宋_GB2312"/>
          <w:sz w:val="32"/>
          <w:szCs w:val="32"/>
          <w:lang w:eastAsia="zh-CN"/>
        </w:rPr>
        <w:t>单</w:t>
      </w:r>
      <w:r>
        <w:rPr>
          <w:rFonts w:hint="eastAsia" w:ascii="仿宋_GB2312" w:hAnsi="仿宋_GB2312" w:eastAsia="仿宋_GB2312" w:cs="仿宋_GB2312"/>
          <w:sz w:val="32"/>
          <w:szCs w:val="32"/>
        </w:rPr>
        <w:t>循环进行（最后两名</w:t>
      </w:r>
      <w:r>
        <w:rPr>
          <w:rFonts w:hint="eastAsia" w:ascii="仿宋_GB2312" w:hAnsi="仿宋_GB2312" w:eastAsia="仿宋_GB2312" w:cs="仿宋_GB2312"/>
          <w:sz w:val="32"/>
          <w:szCs w:val="32"/>
          <w:lang w:eastAsia="zh-CN"/>
        </w:rPr>
        <w:t>降级</w:t>
      </w:r>
      <w:r>
        <w:rPr>
          <w:rFonts w:hint="eastAsia" w:ascii="仿宋_GB2312" w:hAnsi="仿宋_GB2312" w:eastAsia="仿宋_GB2312" w:cs="仿宋_GB2312"/>
          <w:sz w:val="32"/>
          <w:szCs w:val="32"/>
        </w:rPr>
        <w:t>）。</w:t>
      </w:r>
    </w:p>
    <w:p w14:paraId="3B793E47">
      <w:pPr>
        <w:keepNext w:val="0"/>
        <w:keepLines w:val="0"/>
        <w:pageBreakBefore w:val="0"/>
        <w:widowControl/>
        <w:kinsoku/>
        <w:wordWrap/>
        <w:overflowPunct/>
        <w:topLinePunct w:val="0"/>
        <w:autoSpaceDE/>
        <w:autoSpaceDN/>
        <w:bidi w:val="0"/>
        <w:adjustRightInd/>
        <w:snapToGrid w:val="0"/>
        <w:spacing w:line="560" w:lineRule="exact"/>
        <w:ind w:left="0" w:leftChars="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（二）名次决定办法：</w:t>
      </w:r>
    </w:p>
    <w:p w14:paraId="701473A9">
      <w:pPr>
        <w:keepNext w:val="0"/>
        <w:keepLines w:val="0"/>
        <w:pageBreakBefore w:val="0"/>
        <w:widowControl/>
        <w:kinsoku/>
        <w:wordWrap/>
        <w:overflowPunct/>
        <w:topLinePunct w:val="0"/>
        <w:autoSpaceDE/>
        <w:autoSpaceDN/>
        <w:bidi w:val="0"/>
        <w:adjustRightInd/>
        <w:snapToGrid w:val="0"/>
        <w:spacing w:line="560" w:lineRule="exact"/>
        <w:ind w:left="0" w:leftChars="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每队胜一场得</w:t>
      </w: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分，平一场得</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分，负一场得</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 xml:space="preserve">分； </w:t>
      </w:r>
    </w:p>
    <w:p w14:paraId="27D49360">
      <w:pPr>
        <w:keepNext w:val="0"/>
        <w:keepLines w:val="0"/>
        <w:pageBreakBefore w:val="0"/>
        <w:widowControl/>
        <w:kinsoku/>
        <w:wordWrap/>
        <w:overflowPunct/>
        <w:topLinePunct w:val="0"/>
        <w:autoSpaceDE/>
        <w:autoSpaceDN/>
        <w:bidi w:val="0"/>
        <w:adjustRightInd/>
        <w:snapToGrid w:val="0"/>
        <w:spacing w:line="56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联赛结束，积分多的队名次列前； </w:t>
      </w:r>
    </w:p>
    <w:p w14:paraId="0411F4A3">
      <w:pPr>
        <w:keepNext w:val="0"/>
        <w:keepLines w:val="0"/>
        <w:pageBreakBefore w:val="0"/>
        <w:kinsoku/>
        <w:wordWrap/>
        <w:overflowPunct/>
        <w:topLinePunct w:val="0"/>
        <w:autoSpaceDE/>
        <w:autoSpaceDN/>
        <w:bidi w:val="0"/>
        <w:adjustRightInd/>
        <w:snapToGrid w:val="0"/>
        <w:spacing w:line="56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如果两队或两队以上积分相等，依下列顺序排列名次： </w:t>
      </w:r>
    </w:p>
    <w:p w14:paraId="6C7025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积分相等队之间相互比赛积分多者，名次列前；</w:t>
      </w:r>
    </w:p>
    <w:p w14:paraId="727939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积分相等队之间相互比赛净胜球多者，名次列前；</w:t>
      </w:r>
    </w:p>
    <w:p w14:paraId="13CF34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积分相等队之间相互比赛进球数多者，名次列前；</w:t>
      </w:r>
    </w:p>
    <w:p w14:paraId="002553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积分相等队在全部比赛中净胜球多者，名次列前；</w:t>
      </w:r>
    </w:p>
    <w:p w14:paraId="7631F3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积分相等队在全部比赛中进球数多者，名次列前；</w:t>
      </w:r>
    </w:p>
    <w:p w14:paraId="5D484D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积分相等队在全部比赛中红黄牌少者，名次列前；</w:t>
      </w:r>
    </w:p>
    <w:p w14:paraId="15F1C837">
      <w:pPr>
        <w:keepNext w:val="0"/>
        <w:keepLines w:val="0"/>
        <w:pageBreakBefore w:val="0"/>
        <w:widowControl/>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如以上</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rPr>
        <w:t>相同以抽签的办法决定名次。如涉及联赛冠军和联赛降级时，1至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项均相等的球队以附加赛的办法决定名次。 </w:t>
      </w:r>
    </w:p>
    <w:p w14:paraId="1F5F02DD">
      <w:pPr>
        <w:keepNext w:val="0"/>
        <w:keepLines w:val="0"/>
        <w:pageBreakBefore w:val="0"/>
        <w:tabs>
          <w:tab w:val="left" w:pos="540"/>
        </w:tabs>
        <w:kinsoku/>
        <w:wordWrap/>
        <w:overflowPunct/>
        <w:topLinePunct w:val="0"/>
        <w:autoSpaceDE/>
        <w:autoSpaceDN/>
        <w:bidi w:val="0"/>
        <w:adjustRightInd/>
        <w:spacing w:line="560" w:lineRule="exact"/>
        <w:ind w:left="0" w:leftChars="0" w:firstLine="627" w:firstLineChars="196"/>
        <w:jc w:val="both"/>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、规则与</w:t>
      </w:r>
      <w:r>
        <w:rPr>
          <w:rFonts w:hint="eastAsia" w:ascii="黑体" w:hAnsi="黑体" w:eastAsia="黑体" w:cs="黑体"/>
          <w:bCs/>
          <w:sz w:val="32"/>
          <w:szCs w:val="32"/>
          <w:lang w:val="en-US" w:eastAsia="zh-CN"/>
        </w:rPr>
        <w:t>特殊</w:t>
      </w:r>
      <w:r>
        <w:rPr>
          <w:rFonts w:hint="eastAsia" w:ascii="黑体" w:hAnsi="黑体" w:eastAsia="黑体" w:cs="黑体"/>
          <w:bCs/>
          <w:sz w:val="32"/>
          <w:szCs w:val="32"/>
        </w:rPr>
        <w:t>规定</w:t>
      </w:r>
    </w:p>
    <w:p w14:paraId="7CC0BD0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（一）执行中国足球协会审定的最新《足球竞赛规则25/26》及相关补充规定，执行《全国青少年校园足球竞赛违规处理办法（试行）》。</w:t>
      </w:r>
    </w:p>
    <w:p w14:paraId="6B41FF09">
      <w:pPr>
        <w:keepNext w:val="0"/>
        <w:keepLines w:val="0"/>
        <w:pageBreakBefore w:val="0"/>
        <w:tabs>
          <w:tab w:val="left" w:pos="540"/>
        </w:tabs>
        <w:kinsoku/>
        <w:wordWrap/>
        <w:overflowPunct/>
        <w:topLinePunct w:val="0"/>
        <w:autoSpaceDE/>
        <w:autoSpaceDN/>
        <w:bidi w:val="0"/>
        <w:adjustRightInd/>
        <w:spacing w:line="560" w:lineRule="exact"/>
        <w:ind w:left="0" w:leftChars="0" w:right="0" w:firstLine="576" w:firstLineChars="180"/>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z w:val="32"/>
          <w:szCs w:val="32"/>
        </w:rPr>
        <w:t>（二）比赛全场时间为90分钟（上下半场各45分钟），</w:t>
      </w:r>
      <w:r>
        <w:rPr>
          <w:rFonts w:hint="eastAsia" w:ascii="仿宋_GB2312" w:hAnsi="仿宋_GB2312" w:eastAsia="仿宋_GB2312" w:cs="仿宋_GB2312"/>
          <w:color w:val="auto"/>
          <w:spacing w:val="0"/>
          <w:w w:val="100"/>
          <w:kern w:val="2"/>
          <w:sz w:val="32"/>
          <w:szCs w:val="32"/>
          <w:lang w:val="en-US" w:eastAsia="en-US" w:bidi="ar-SA"/>
        </w:rPr>
        <w:t>中场休息不超过15分钟。比赛使用5号球。</w:t>
      </w:r>
    </w:p>
    <w:p w14:paraId="2EB785C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en-US" w:bidi="ar-SA"/>
        </w:rPr>
        <w:t>（</w:t>
      </w:r>
      <w:r>
        <w:rPr>
          <w:rFonts w:hint="eastAsia" w:ascii="仿宋_GB2312" w:hAnsi="仿宋_GB2312" w:eastAsia="仿宋_GB2312" w:cs="仿宋_GB2312"/>
          <w:color w:val="auto"/>
          <w:spacing w:val="0"/>
          <w:w w:val="100"/>
          <w:kern w:val="2"/>
          <w:sz w:val="32"/>
          <w:szCs w:val="32"/>
          <w:lang w:val="en-US" w:eastAsia="zh-CN" w:bidi="ar-SA"/>
        </w:rPr>
        <w:t>三</w:t>
      </w:r>
      <w:r>
        <w:rPr>
          <w:rFonts w:hint="eastAsia" w:ascii="仿宋_GB2312" w:hAnsi="仿宋_GB2312" w:eastAsia="仿宋_GB2312" w:cs="仿宋_GB2312"/>
          <w:color w:val="auto"/>
          <w:spacing w:val="0"/>
          <w:w w:val="100"/>
          <w:kern w:val="2"/>
          <w:sz w:val="32"/>
          <w:szCs w:val="32"/>
          <w:lang w:val="en-US" w:eastAsia="en-US" w:bidi="ar-SA"/>
        </w:rPr>
        <w:t>）</w:t>
      </w:r>
      <w:r>
        <w:rPr>
          <w:rFonts w:hint="eastAsia" w:ascii="仿宋_GB2312" w:hAnsi="仿宋_GB2312" w:eastAsia="仿宋_GB2312" w:cs="仿宋_GB2312"/>
          <w:color w:val="auto"/>
          <w:spacing w:val="0"/>
          <w:w w:val="100"/>
          <w:kern w:val="2"/>
          <w:sz w:val="32"/>
          <w:szCs w:val="32"/>
          <w:lang w:val="en-US" w:eastAsia="zh-CN" w:bidi="ar-SA"/>
        </w:rPr>
        <w:t>每场比赛允许填报上场运动员11名，填报替补运动员9名，可替换7名运动员，须3次完成（不含中场），被替换下场的运动员不得重新被换上场。</w:t>
      </w:r>
    </w:p>
    <w:p w14:paraId="2D4AECE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（四）比赛进行中运动员被裁判员出示红黄牌</w:t>
      </w:r>
      <w:r>
        <w:rPr>
          <w:rFonts w:hint="eastAsia" w:ascii="仿宋_GB2312" w:hAnsi="仿宋_GB2312" w:eastAsia="仿宋_GB2312" w:cs="仿宋_GB2312"/>
          <w:color w:val="auto"/>
          <w:spacing w:val="0"/>
          <w:w w:val="100"/>
          <w:sz w:val="32"/>
          <w:szCs w:val="32"/>
          <w:lang w:val="en-US" w:eastAsia="zh-CN"/>
        </w:rPr>
        <w:t>处罚</w:t>
      </w:r>
      <w:r>
        <w:rPr>
          <w:rFonts w:hint="eastAsia" w:ascii="仿宋_GB2312" w:hAnsi="仿宋_GB2312" w:eastAsia="仿宋_GB2312" w:cs="仿宋_GB2312"/>
          <w:color w:val="auto"/>
          <w:spacing w:val="0"/>
          <w:w w:val="100"/>
          <w:sz w:val="32"/>
          <w:szCs w:val="32"/>
        </w:rPr>
        <w:t>规定如下：累计被出示三张黄牌停赛1场；同一运动员第一次被出示红牌停赛1场，第二次停赛2场，第三次取消参加本次联赛的资格；如果出现暴力行为直接取消全部比赛资格。停赛期间不得出现在赛场及技术区域</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如遇补赛、轮次调整等自动顺延</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，联赛组委会有权根据实际情况追加处罚。</w:t>
      </w:r>
    </w:p>
    <w:p w14:paraId="206ACF4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五</w:t>
      </w:r>
      <w:r>
        <w:rPr>
          <w:rFonts w:hint="eastAsia" w:ascii="仿宋_GB2312" w:hAnsi="仿宋_GB2312" w:eastAsia="仿宋_GB2312" w:cs="仿宋_GB2312"/>
          <w:color w:val="auto"/>
          <w:spacing w:val="0"/>
          <w:w w:val="100"/>
          <w:sz w:val="32"/>
          <w:szCs w:val="32"/>
        </w:rPr>
        <w:t>）如遇不可抗力造成比赛中断且无法恢复比赛的情况，当时比赛成绩有效</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大会必须在24小时内另选合适场地补足比赛时间</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包括罚球点球</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。在比赛中，如某队在场上队员不足7人时，则本场比赛自然</w:t>
      </w:r>
      <w:r>
        <w:rPr>
          <w:rFonts w:hint="eastAsia" w:ascii="仿宋_GB2312" w:hAnsi="仿宋_GB2312" w:eastAsia="仿宋_GB2312" w:cs="仿宋_GB2312"/>
          <w:color w:val="auto"/>
          <w:spacing w:val="0"/>
          <w:w w:val="100"/>
          <w:sz w:val="32"/>
          <w:szCs w:val="32"/>
          <w:lang w:val="en-US" w:eastAsia="zh-CN"/>
        </w:rPr>
        <w:t>终</w:t>
      </w:r>
      <w:r>
        <w:rPr>
          <w:rFonts w:hint="eastAsia" w:ascii="仿宋_GB2312" w:hAnsi="仿宋_GB2312" w:eastAsia="仿宋_GB2312" w:cs="仿宋_GB2312"/>
          <w:color w:val="auto"/>
          <w:spacing w:val="0"/>
          <w:w w:val="100"/>
          <w:sz w:val="32"/>
          <w:szCs w:val="32"/>
        </w:rPr>
        <w:t>止，视该队为弃权，判对方3:0胜；如比赛中止时场上比分已超过3:0</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则以当场中止时实际比分为准。</w:t>
      </w:r>
    </w:p>
    <w:p w14:paraId="476E4F9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六</w:t>
      </w:r>
      <w:r>
        <w:rPr>
          <w:rFonts w:hint="eastAsia" w:ascii="仿宋_GB2312" w:hAnsi="仿宋_GB2312" w:eastAsia="仿宋_GB2312" w:cs="仿宋_GB2312"/>
          <w:color w:val="auto"/>
          <w:spacing w:val="0"/>
          <w:w w:val="100"/>
          <w:sz w:val="32"/>
          <w:szCs w:val="32"/>
        </w:rPr>
        <w:t>）比赛用鞋为皮面死钉足球鞋</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非金属钉及非活动钉足球鞋</w:t>
      </w:r>
      <w:r>
        <w:rPr>
          <w:rFonts w:hint="eastAsia" w:ascii="仿宋_GB2312" w:hAnsi="仿宋_GB2312" w:eastAsia="仿宋_GB2312" w:cs="仿宋_GB2312"/>
          <w:color w:val="auto"/>
          <w:spacing w:val="0"/>
          <w:w w:val="100"/>
          <w:sz w:val="32"/>
          <w:szCs w:val="32"/>
          <w:lang w:eastAsia="zh-CN"/>
        </w:rPr>
        <w:t>）。</w:t>
      </w:r>
    </w:p>
    <w:p w14:paraId="42A7531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七</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各队自备深浅比赛服装各一套（建议其中一套为白色），如有1号则1号必须为守门员。各队赛服印制标准为：上衣正面右上方为学校校徽（6cm×6cm），上衣正面中间为学校全称（长高：25cm×8cm）；上衣背面上方居中为球员中文姓名（高：8cm），中间为球员号码（长高：15cm×20cm）。号码颜色应与服装颜色有清晰、明显的区别；比赛队员上衣内衣颜色与衣袖主色一致、内衬裤/紧身裤颜色必须与短裤主色或短裤底色颜色一致。场上队长必须佩戴不少于6厘米宽且与上衣颜色有明显区别的袖标；上场队员必须戴护腿板（球员负责确保尺寸适中安全适用）；比赛服装和颜色款式必须全队一致，</w:t>
      </w:r>
      <w:r>
        <w:rPr>
          <w:rFonts w:hint="eastAsia" w:ascii="仿宋_GB2312" w:hAnsi="仿宋_GB2312" w:eastAsia="仿宋_GB2312" w:cs="仿宋_GB2312"/>
          <w:color w:val="auto"/>
          <w:spacing w:val="0"/>
          <w:w w:val="100"/>
          <w:sz w:val="32"/>
          <w:szCs w:val="32"/>
        </w:rPr>
        <w:t>守门员的比赛服装颜色必须与其他队员和裁判员服装颜色有明显区别</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违者不得上场比赛。</w:t>
      </w:r>
    </w:p>
    <w:p w14:paraId="3C5EBF8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val="en-US" w:eastAsia="zh-CN"/>
        </w:rPr>
        <w:t>八</w:t>
      </w:r>
      <w:r>
        <w:rPr>
          <w:rFonts w:hint="eastAsia" w:ascii="仿宋_GB2312" w:hAnsi="仿宋_GB2312" w:eastAsia="仿宋_GB2312" w:cs="仿宋_GB2312"/>
          <w:color w:val="auto"/>
          <w:spacing w:val="0"/>
          <w:w w:val="100"/>
          <w:sz w:val="32"/>
          <w:szCs w:val="32"/>
        </w:rPr>
        <w:t>）替补席人数不得超过1</w:t>
      </w:r>
      <w:r>
        <w:rPr>
          <w:rFonts w:hint="eastAsia" w:ascii="仿宋_GB2312" w:hAnsi="仿宋_GB2312" w:eastAsia="仿宋_GB2312" w:cs="仿宋_GB2312"/>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rPr>
        <w:t>人</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含运动员9人，领队、教练员、队医和工作人员</w:t>
      </w:r>
      <w:r>
        <w:rPr>
          <w:rFonts w:hint="eastAsia" w:ascii="仿宋_GB2312" w:hAnsi="仿宋_GB2312" w:eastAsia="仿宋_GB2312" w:cs="仿宋_GB2312"/>
          <w:color w:val="auto"/>
          <w:spacing w:val="0"/>
          <w:w w:val="100"/>
          <w:sz w:val="32"/>
          <w:szCs w:val="32"/>
          <w:lang w:val="en-US" w:eastAsia="zh-CN"/>
        </w:rPr>
        <w:t>5</w:t>
      </w:r>
      <w:r>
        <w:rPr>
          <w:rFonts w:hint="eastAsia" w:ascii="仿宋_GB2312" w:hAnsi="仿宋_GB2312" w:eastAsia="仿宋_GB2312" w:cs="仿宋_GB2312"/>
          <w:color w:val="auto"/>
          <w:spacing w:val="0"/>
          <w:w w:val="100"/>
          <w:sz w:val="32"/>
          <w:szCs w:val="32"/>
        </w:rPr>
        <w:t>人，其他人不得入座</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替补席</w:t>
      </w:r>
      <w:r>
        <w:rPr>
          <w:rFonts w:hint="eastAsia" w:ascii="仿宋_GB2312" w:hAnsi="仿宋_GB2312" w:eastAsia="仿宋_GB2312" w:cs="仿宋_GB2312"/>
          <w:color w:val="auto"/>
          <w:spacing w:val="0"/>
          <w:w w:val="100"/>
          <w:sz w:val="32"/>
          <w:szCs w:val="32"/>
          <w:lang w:val="en-US" w:eastAsia="zh-CN"/>
        </w:rPr>
        <w:t>球队官员</w:t>
      </w:r>
      <w:r>
        <w:rPr>
          <w:rFonts w:hint="eastAsia" w:ascii="仿宋_GB2312" w:hAnsi="仿宋_GB2312" w:eastAsia="仿宋_GB2312" w:cs="仿宋_GB2312"/>
          <w:color w:val="auto"/>
          <w:spacing w:val="0"/>
          <w:w w:val="100"/>
          <w:sz w:val="32"/>
          <w:szCs w:val="32"/>
        </w:rPr>
        <w:t>的服装颜色必须与场上运动员的服装颜色有明显区别，替补</w:t>
      </w:r>
      <w:r>
        <w:rPr>
          <w:rFonts w:hint="eastAsia" w:ascii="仿宋_GB2312" w:hAnsi="仿宋_GB2312" w:eastAsia="仿宋_GB2312" w:cs="仿宋_GB2312"/>
          <w:color w:val="auto"/>
          <w:spacing w:val="0"/>
          <w:w w:val="100"/>
          <w:sz w:val="32"/>
          <w:szCs w:val="32"/>
          <w:lang w:val="en-US" w:eastAsia="zh-CN"/>
        </w:rPr>
        <w:t>队员必须穿分队背心，颜色和上场队员有明显区别，</w:t>
      </w:r>
      <w:r>
        <w:rPr>
          <w:rFonts w:hint="eastAsia" w:ascii="仿宋_GB2312" w:hAnsi="仿宋_GB2312" w:eastAsia="仿宋_GB2312" w:cs="仿宋_GB2312"/>
          <w:color w:val="auto"/>
          <w:spacing w:val="0"/>
          <w:w w:val="100"/>
          <w:sz w:val="32"/>
          <w:szCs w:val="32"/>
        </w:rPr>
        <w:t>并对自己行为负责。替补席禁止吸烟，各队比赛结束后做好替补席清洁工作。运动员均不得染发、蓄长发、留怪异发型</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含光头</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以及</w:t>
      </w:r>
      <w:r>
        <w:rPr>
          <w:rFonts w:hint="eastAsia" w:ascii="仿宋_GB2312" w:hAnsi="仿宋_GB2312" w:eastAsia="仿宋_GB2312" w:cs="仿宋_GB2312"/>
          <w:color w:val="auto"/>
          <w:spacing w:val="0"/>
          <w:w w:val="100"/>
          <w:sz w:val="32"/>
          <w:szCs w:val="32"/>
          <w:lang w:eastAsia="zh-CN"/>
        </w:rPr>
        <w:t>佩戴</w:t>
      </w:r>
      <w:r>
        <w:rPr>
          <w:rFonts w:hint="eastAsia" w:ascii="仿宋_GB2312" w:hAnsi="仿宋_GB2312" w:eastAsia="仿宋_GB2312" w:cs="仿宋_GB2312"/>
          <w:color w:val="auto"/>
          <w:spacing w:val="0"/>
          <w:w w:val="100"/>
          <w:sz w:val="32"/>
          <w:szCs w:val="32"/>
        </w:rPr>
        <w:t>任何饰物，否则取消其比赛资格。</w:t>
      </w:r>
    </w:p>
    <w:p w14:paraId="2ABFD18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lang w:val="en-US" w:eastAsia="zh-CN"/>
        </w:rPr>
        <w:t>（九）</w:t>
      </w:r>
      <w:r>
        <w:rPr>
          <w:rFonts w:hint="eastAsia" w:ascii="仿宋_GB2312" w:hAnsi="仿宋_GB2312" w:eastAsia="仿宋_GB2312" w:cs="仿宋_GB2312"/>
          <w:color w:val="auto"/>
          <w:spacing w:val="0"/>
          <w:w w:val="100"/>
          <w:sz w:val="32"/>
          <w:szCs w:val="32"/>
        </w:rPr>
        <w:t>延误比赛、弃权、退赛和罢赛</w:t>
      </w:r>
    </w:p>
    <w:p w14:paraId="688EDE4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除不可抗力的因素外，参赛球队无论何种原因出现弃赛、罢赛、退出比赛和严重违背公平竞赛原则的行为，赛事组委会有权取消该球队的参赛资格并进行通报批评，同时禁止参加由省教育厅</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省体育局</w:t>
      </w:r>
      <w:r>
        <w:rPr>
          <w:rFonts w:hint="eastAsia" w:ascii="仿宋_GB2312" w:hAnsi="仿宋_GB2312" w:eastAsia="仿宋_GB2312" w:cs="仿宋_GB2312"/>
          <w:color w:val="auto"/>
          <w:spacing w:val="0"/>
          <w:w w:val="100"/>
          <w:sz w:val="32"/>
          <w:szCs w:val="32"/>
        </w:rPr>
        <w:t>举办的相关赛事活动12个月。赛事组委会可根据本规程和《全国青少年校园足球竞赛违规处理办法</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试行</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对弃权、罢赛和退赛的参赛队和队员追加处罚。</w:t>
      </w:r>
    </w:p>
    <w:p w14:paraId="1E11BF5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color w:val="auto"/>
          <w:spacing w:val="0"/>
          <w:w w:val="100"/>
          <w:sz w:val="32"/>
          <w:szCs w:val="32"/>
          <w:lang w:val="en-US" w:eastAsia="en-US"/>
        </w:rPr>
      </w:pPr>
      <w:r>
        <w:rPr>
          <w:rFonts w:hint="eastAsia" w:ascii="仿宋_GB2312" w:hAnsi="仿宋_GB2312" w:eastAsia="仿宋_GB2312" w:cs="仿宋_GB2312"/>
          <w:b w:val="0"/>
          <w:bCs w:val="0"/>
          <w:color w:val="auto"/>
          <w:spacing w:val="0"/>
          <w:w w:val="100"/>
          <w:sz w:val="32"/>
          <w:szCs w:val="32"/>
          <w:lang w:val="en-US" w:eastAsia="en-US"/>
        </w:rPr>
        <w:t>1.有下列情况之一的参赛队属弃赛</w:t>
      </w:r>
    </w:p>
    <w:p w14:paraId="299608D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en-US"/>
        </w:rPr>
        <w:t>未报名或未通过资格审查</w:t>
      </w:r>
      <w:r>
        <w:rPr>
          <w:rFonts w:hint="eastAsia" w:ascii="仿宋_GB2312" w:hAnsi="仿宋_GB2312" w:eastAsia="仿宋_GB2312" w:cs="仿宋_GB2312"/>
          <w:color w:val="auto"/>
          <w:spacing w:val="0"/>
          <w:w w:val="100"/>
          <w:sz w:val="32"/>
          <w:szCs w:val="32"/>
          <w:lang w:val="en-US" w:eastAsia="zh-CN"/>
        </w:rPr>
        <w:t>或</w:t>
      </w:r>
      <w:r>
        <w:rPr>
          <w:rFonts w:hint="eastAsia" w:ascii="仿宋_GB2312" w:hAnsi="仿宋_GB2312" w:eastAsia="仿宋_GB2312" w:cs="仿宋_GB2312"/>
          <w:color w:val="auto"/>
          <w:spacing w:val="0"/>
          <w:w w:val="100"/>
          <w:sz w:val="32"/>
          <w:szCs w:val="32"/>
          <w:lang w:val="en-US" w:eastAsia="en-US"/>
        </w:rPr>
        <w:t>处在停赛期</w:t>
      </w:r>
      <w:r>
        <w:rPr>
          <w:rFonts w:hint="eastAsia" w:ascii="仿宋_GB2312" w:hAnsi="仿宋_GB2312" w:eastAsia="仿宋_GB2312" w:cs="仿宋_GB2312"/>
          <w:color w:val="auto"/>
          <w:spacing w:val="0"/>
          <w:w w:val="100"/>
          <w:sz w:val="32"/>
          <w:szCs w:val="32"/>
          <w:lang w:val="en-US" w:eastAsia="zh-CN"/>
        </w:rPr>
        <w:t>或</w:t>
      </w:r>
      <w:r>
        <w:rPr>
          <w:rFonts w:hint="eastAsia" w:ascii="仿宋_GB2312" w:hAnsi="仿宋_GB2312" w:eastAsia="仿宋_GB2312" w:cs="仿宋_GB2312"/>
          <w:color w:val="auto"/>
          <w:spacing w:val="0"/>
          <w:w w:val="100"/>
          <w:sz w:val="32"/>
          <w:szCs w:val="32"/>
          <w:lang w:val="en-US" w:eastAsia="en-US"/>
        </w:rPr>
        <w:t>正在申诉过程中尚未被允许参赛的运动员，代表某队参加了比赛，该参赛队此场比赛按弃权处理。</w:t>
      </w:r>
    </w:p>
    <w:p w14:paraId="11BF5C1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en-US"/>
        </w:rPr>
        <w:t>并非因不可抗拒的原因，且尚未获得赛事组委会批准，在原定开赛时间15分钟后还未到达比赛场地或未上场进行比赛，则该参赛队此场比赛按弃权处理。</w:t>
      </w:r>
    </w:p>
    <w:p w14:paraId="73BDD97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color w:val="auto"/>
          <w:spacing w:val="0"/>
          <w:w w:val="100"/>
          <w:sz w:val="32"/>
          <w:szCs w:val="32"/>
          <w:lang w:val="en-US" w:eastAsia="en-US"/>
        </w:rPr>
      </w:pPr>
      <w:r>
        <w:rPr>
          <w:rFonts w:hint="eastAsia" w:ascii="仿宋_GB2312" w:hAnsi="仿宋_GB2312" w:eastAsia="仿宋_GB2312" w:cs="仿宋_GB2312"/>
          <w:b w:val="0"/>
          <w:bCs w:val="0"/>
          <w:color w:val="auto"/>
          <w:spacing w:val="0"/>
          <w:w w:val="100"/>
          <w:sz w:val="32"/>
          <w:szCs w:val="32"/>
          <w:lang w:val="en-US" w:eastAsia="en-US"/>
        </w:rPr>
        <w:t>2.有下列情况之一的参赛队属比赛罢赛</w:t>
      </w:r>
    </w:p>
    <w:p w14:paraId="5D54F0F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en-US"/>
        </w:rPr>
        <w:t>并非因不可抗拒的原因，且未获得赛事组委会批准，未参加赛程规定的比赛。</w:t>
      </w:r>
    </w:p>
    <w:p w14:paraId="3EE8099A">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en-US"/>
        </w:rPr>
        <w:t>拒绝按照赛事组委会的安排参加补赛或改期的比赛。</w:t>
      </w:r>
    </w:p>
    <w:p w14:paraId="56536E5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lang w:val="en-US" w:eastAsia="en-US"/>
        </w:rPr>
        <w:t>拒绝按照裁判员的要求，在5分钟内恢复中断的比赛。</w:t>
      </w:r>
    </w:p>
    <w:p w14:paraId="487B6C4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（4）</w:t>
      </w:r>
      <w:r>
        <w:rPr>
          <w:rFonts w:hint="eastAsia" w:ascii="仿宋_GB2312" w:hAnsi="仿宋_GB2312" w:eastAsia="仿宋_GB2312" w:cs="仿宋_GB2312"/>
          <w:color w:val="auto"/>
          <w:spacing w:val="0"/>
          <w:w w:val="100"/>
          <w:sz w:val="32"/>
          <w:szCs w:val="32"/>
          <w:lang w:val="en-US" w:eastAsia="en-US"/>
        </w:rPr>
        <w:t>中途退出比赛。</w:t>
      </w:r>
    </w:p>
    <w:p w14:paraId="7EED9AE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zh-CN" w:bidi="ar-SA"/>
        </w:rPr>
        <w:t>（5）</w:t>
      </w:r>
      <w:r>
        <w:rPr>
          <w:rFonts w:hint="eastAsia" w:ascii="仿宋_GB2312" w:hAnsi="仿宋_GB2312" w:eastAsia="仿宋_GB2312" w:cs="仿宋_GB2312"/>
          <w:color w:val="auto"/>
          <w:spacing w:val="0"/>
          <w:w w:val="100"/>
          <w:kern w:val="2"/>
          <w:sz w:val="32"/>
          <w:szCs w:val="32"/>
          <w:lang w:val="en-US" w:eastAsia="en-US" w:bidi="ar-SA"/>
        </w:rPr>
        <w:t>组委会认定的其他情况除外。</w:t>
      </w:r>
    </w:p>
    <w:p w14:paraId="2C562C5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color w:val="auto"/>
          <w:spacing w:val="0"/>
          <w:w w:val="100"/>
          <w:sz w:val="32"/>
          <w:szCs w:val="32"/>
          <w:lang w:val="en-US" w:eastAsia="en-US"/>
        </w:rPr>
      </w:pPr>
      <w:r>
        <w:rPr>
          <w:rFonts w:hint="eastAsia" w:ascii="仿宋_GB2312" w:hAnsi="仿宋_GB2312" w:eastAsia="仿宋_GB2312" w:cs="仿宋_GB2312"/>
          <w:b w:val="0"/>
          <w:bCs w:val="0"/>
          <w:color w:val="auto"/>
          <w:spacing w:val="0"/>
          <w:w w:val="100"/>
          <w:sz w:val="32"/>
          <w:szCs w:val="32"/>
          <w:lang w:val="en-US" w:eastAsia="en-US"/>
        </w:rPr>
        <w:t>3.如参赛队被认定有弃赛、罢赛、退出比赛和严重违背公平竞赛原则的行为，组委会有权根据实际情况采取下列各项措施：</w:t>
      </w:r>
    </w:p>
    <w:p w14:paraId="1AC1087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（1）</w:t>
      </w:r>
      <w:r>
        <w:rPr>
          <w:rFonts w:hint="eastAsia" w:ascii="仿宋_GB2312" w:hAnsi="仿宋_GB2312" w:eastAsia="仿宋_GB2312" w:cs="仿宋_GB2312"/>
          <w:color w:val="auto"/>
          <w:spacing w:val="0"/>
          <w:w w:val="100"/>
          <w:sz w:val="32"/>
          <w:szCs w:val="32"/>
          <w:lang w:val="en-US" w:eastAsia="en-US"/>
        </w:rPr>
        <w:t>取消该参赛队的参赛资格。</w:t>
      </w:r>
    </w:p>
    <w:p w14:paraId="6A1507F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（2）</w:t>
      </w:r>
      <w:r>
        <w:rPr>
          <w:rFonts w:hint="eastAsia" w:ascii="仿宋_GB2312" w:hAnsi="仿宋_GB2312" w:eastAsia="仿宋_GB2312" w:cs="仿宋_GB2312"/>
          <w:color w:val="auto"/>
          <w:spacing w:val="0"/>
          <w:w w:val="100"/>
          <w:sz w:val="32"/>
          <w:szCs w:val="32"/>
          <w:lang w:val="en-US" w:eastAsia="en-US"/>
        </w:rPr>
        <w:t>取消该参赛队的比赛成绩。</w:t>
      </w:r>
    </w:p>
    <w:p w14:paraId="7012D80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（3）</w:t>
      </w:r>
      <w:r>
        <w:rPr>
          <w:rFonts w:hint="eastAsia" w:ascii="仿宋_GB2312" w:hAnsi="仿宋_GB2312" w:eastAsia="仿宋_GB2312" w:cs="仿宋_GB2312"/>
          <w:color w:val="auto"/>
          <w:spacing w:val="0"/>
          <w:w w:val="100"/>
          <w:sz w:val="32"/>
          <w:szCs w:val="32"/>
          <w:lang w:val="en-US" w:eastAsia="en-US"/>
        </w:rPr>
        <w:t>所有参赛队已经与之比赛的成绩和发生的红、黄牌取消，但对非体育道德行为</w:t>
      </w:r>
      <w:r>
        <w:rPr>
          <w:rFonts w:hint="eastAsia" w:ascii="仿宋_GB2312" w:hAnsi="仿宋_GB2312" w:eastAsia="仿宋_GB2312" w:cs="仿宋_GB2312"/>
          <w:color w:val="auto"/>
          <w:spacing w:val="0"/>
          <w:w w:val="100"/>
          <w:sz w:val="32"/>
          <w:szCs w:val="32"/>
          <w:lang w:val="en-US" w:eastAsia="zh-CN"/>
        </w:rPr>
        <w:t>作出</w:t>
      </w:r>
      <w:r>
        <w:rPr>
          <w:rFonts w:hint="eastAsia" w:ascii="仿宋_GB2312" w:hAnsi="仿宋_GB2312" w:eastAsia="仿宋_GB2312" w:cs="仿宋_GB2312"/>
          <w:color w:val="auto"/>
          <w:spacing w:val="0"/>
          <w:w w:val="100"/>
          <w:sz w:val="32"/>
          <w:szCs w:val="32"/>
          <w:lang w:val="en-US" w:eastAsia="en-US"/>
        </w:rPr>
        <w:t>的追加处罚依然有效。</w:t>
      </w:r>
    </w:p>
    <w:p w14:paraId="784D7E1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zh-CN"/>
        </w:rPr>
        <w:t>（4）其他</w:t>
      </w:r>
      <w:r>
        <w:rPr>
          <w:rFonts w:hint="eastAsia" w:ascii="仿宋_GB2312" w:hAnsi="仿宋_GB2312" w:eastAsia="仿宋_GB2312" w:cs="仿宋_GB2312"/>
          <w:color w:val="auto"/>
          <w:spacing w:val="0"/>
          <w:w w:val="100"/>
          <w:sz w:val="32"/>
          <w:szCs w:val="32"/>
          <w:lang w:val="en-US" w:eastAsia="en-US"/>
        </w:rPr>
        <w:t>追加处罚。</w:t>
      </w:r>
    </w:p>
    <w:p w14:paraId="32E1B8F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en-US"/>
        </w:rPr>
        <w:t>在下一阶段赛事前，如参赛队的参赛资格和比赛成绩被取消，可按上一阶段成绩依次递补参赛队。</w:t>
      </w:r>
    </w:p>
    <w:p w14:paraId="77BE1A9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en-US"/>
        </w:rPr>
        <w:t>罢赛的参赛队本次比赛所有比赛的比分均计对方3:0获胜（无论比赛是否已经进行），如果比赛实际比分超过3:0</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lang w:val="en-US" w:eastAsia="en-US"/>
        </w:rPr>
        <w:t>则以当时实际结果为准。</w:t>
      </w:r>
    </w:p>
    <w:p w14:paraId="7B9EB94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color w:val="auto"/>
          <w:spacing w:val="0"/>
          <w:w w:val="100"/>
          <w:sz w:val="32"/>
          <w:szCs w:val="32"/>
        </w:rPr>
      </w:pPr>
      <w:r>
        <w:rPr>
          <w:rFonts w:hint="eastAsia" w:ascii="仿宋_GB2312" w:hAnsi="仿宋_GB2312" w:eastAsia="仿宋_GB2312" w:cs="仿宋_GB2312"/>
          <w:b w:val="0"/>
          <w:bCs w:val="0"/>
          <w:color w:val="auto"/>
          <w:spacing w:val="0"/>
          <w:w w:val="100"/>
          <w:sz w:val="32"/>
          <w:szCs w:val="32"/>
          <w:lang w:eastAsia="zh-CN"/>
        </w:rPr>
        <w:t>（</w:t>
      </w:r>
      <w:r>
        <w:rPr>
          <w:rFonts w:hint="eastAsia" w:ascii="仿宋_GB2312" w:hAnsi="仿宋_GB2312" w:eastAsia="仿宋_GB2312" w:cs="仿宋_GB2312"/>
          <w:b w:val="0"/>
          <w:bCs w:val="0"/>
          <w:color w:val="auto"/>
          <w:spacing w:val="0"/>
          <w:w w:val="100"/>
          <w:sz w:val="32"/>
          <w:szCs w:val="32"/>
        </w:rPr>
        <w:t>十</w:t>
      </w:r>
      <w:r>
        <w:rPr>
          <w:rFonts w:hint="eastAsia" w:ascii="仿宋_GB2312" w:hAnsi="仿宋_GB2312" w:eastAsia="仿宋_GB2312" w:cs="仿宋_GB2312"/>
          <w:b w:val="0"/>
          <w:bCs w:val="0"/>
          <w:color w:val="auto"/>
          <w:spacing w:val="0"/>
          <w:w w:val="100"/>
          <w:sz w:val="32"/>
          <w:szCs w:val="32"/>
          <w:lang w:eastAsia="zh-CN"/>
        </w:rPr>
        <w:t>）</w:t>
      </w:r>
      <w:r>
        <w:rPr>
          <w:rFonts w:hint="eastAsia" w:ascii="仿宋_GB2312" w:hAnsi="仿宋_GB2312" w:eastAsia="仿宋_GB2312" w:cs="仿宋_GB2312"/>
          <w:snapToGrid w:val="0"/>
          <w:color w:val="auto"/>
          <w:spacing w:val="9"/>
          <w:kern w:val="0"/>
          <w:sz w:val="32"/>
          <w:szCs w:val="32"/>
          <w:lang w:val="en-US" w:eastAsia="en-US" w:bidi="ar-SA"/>
        </w:rPr>
        <w:t>赛风赛纪</w:t>
      </w:r>
      <w:r>
        <w:rPr>
          <w:rFonts w:hint="eastAsia" w:ascii="仿宋_GB2312" w:hAnsi="仿宋_GB2312" w:eastAsia="仿宋_GB2312" w:cs="仿宋_GB2312"/>
          <w:b w:val="0"/>
          <w:bCs w:val="0"/>
          <w:color w:val="auto"/>
          <w:spacing w:val="0"/>
          <w:w w:val="100"/>
          <w:sz w:val="32"/>
          <w:szCs w:val="32"/>
        </w:rPr>
        <w:t>的处罚</w:t>
      </w:r>
    </w:p>
    <w:p w14:paraId="054305E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lang w:val="en-US" w:eastAsia="en-US"/>
        </w:rPr>
      </w:pPr>
      <w:r>
        <w:rPr>
          <w:rFonts w:hint="eastAsia" w:ascii="仿宋_GB2312" w:hAnsi="仿宋_GB2312" w:eastAsia="仿宋_GB2312" w:cs="仿宋_GB2312"/>
          <w:color w:val="auto"/>
          <w:spacing w:val="0"/>
          <w:w w:val="100"/>
          <w:sz w:val="32"/>
          <w:szCs w:val="32"/>
          <w:lang w:val="en-US" w:eastAsia="en-US"/>
        </w:rPr>
        <w:t>对比赛过程中出现的威胁、辱骂、围攻、推搡裁判及竞赛官员，阻碍裁判及竞赛官员正常工作，殴打裁判，打架斗殴和冒名顶替、弄虚作假等严重违规违纪行为的运动员、管理人员、参赛球队，将按照</w:t>
      </w:r>
      <w:r>
        <w:rPr>
          <w:rFonts w:hint="eastAsia" w:ascii="仿宋_GB2312" w:hAnsi="仿宋_GB2312" w:eastAsia="仿宋_GB2312" w:cs="仿宋_GB2312"/>
          <w:color w:val="auto"/>
          <w:spacing w:val="0"/>
          <w:w w:val="100"/>
          <w:sz w:val="32"/>
          <w:szCs w:val="32"/>
          <w:lang w:val="en-US" w:eastAsia="zh-CN"/>
        </w:rPr>
        <w:t>《全国青少年校园足球竞赛违规处理办法（试行）》给予警告、记过、</w:t>
      </w:r>
      <w:r>
        <w:rPr>
          <w:rFonts w:hint="eastAsia" w:ascii="仿宋_GB2312" w:hAnsi="仿宋_GB2312" w:eastAsia="仿宋_GB2312" w:cs="仿宋_GB2312"/>
          <w:color w:val="auto"/>
          <w:spacing w:val="0"/>
          <w:w w:val="100"/>
          <w:sz w:val="32"/>
          <w:szCs w:val="32"/>
          <w:lang w:val="en-US" w:eastAsia="en-US"/>
        </w:rPr>
        <w:t>取消违规违纪者评奖评优、职务晋升、职称评定、岗位聘用、申报人才计划等方面的资格</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lang w:val="en-US" w:eastAsia="en-US"/>
        </w:rPr>
        <w:t>由所属单位给予降低岗位等级处分</w:t>
      </w:r>
      <w:r>
        <w:rPr>
          <w:rFonts w:hint="eastAsia" w:ascii="仿宋_GB2312" w:hAnsi="仿宋_GB2312" w:eastAsia="仿宋_GB2312" w:cs="仿宋_GB2312"/>
          <w:color w:val="auto"/>
          <w:spacing w:val="0"/>
          <w:w w:val="100"/>
          <w:sz w:val="32"/>
          <w:szCs w:val="32"/>
          <w:lang w:val="en-US" w:eastAsia="zh-CN"/>
        </w:rPr>
        <w:t>、</w:t>
      </w:r>
      <w:r>
        <w:rPr>
          <w:rFonts w:hint="eastAsia" w:ascii="仿宋_GB2312" w:hAnsi="仿宋_GB2312" w:eastAsia="仿宋_GB2312" w:cs="仿宋_GB2312"/>
          <w:color w:val="auto"/>
          <w:spacing w:val="0"/>
          <w:w w:val="100"/>
          <w:sz w:val="32"/>
          <w:szCs w:val="32"/>
          <w:lang w:val="en-US" w:eastAsia="en-US"/>
        </w:rPr>
        <w:t>由所属单位给予撤职处分</w:t>
      </w:r>
      <w:r>
        <w:rPr>
          <w:rFonts w:hint="eastAsia" w:ascii="仿宋_GB2312" w:hAnsi="仿宋_GB2312" w:eastAsia="仿宋_GB2312" w:cs="仿宋_GB2312"/>
          <w:color w:val="auto"/>
          <w:spacing w:val="0"/>
          <w:w w:val="100"/>
          <w:sz w:val="32"/>
          <w:szCs w:val="32"/>
          <w:lang w:val="en-US" w:eastAsia="zh-CN"/>
        </w:rPr>
        <w:t>等处罚</w:t>
      </w:r>
      <w:r>
        <w:rPr>
          <w:rFonts w:hint="eastAsia" w:ascii="仿宋_GB2312" w:hAnsi="仿宋_GB2312" w:eastAsia="仿宋_GB2312" w:cs="仿宋_GB2312"/>
          <w:color w:val="auto"/>
          <w:spacing w:val="0"/>
          <w:w w:val="100"/>
          <w:sz w:val="32"/>
          <w:szCs w:val="32"/>
          <w:lang w:val="en-US" w:eastAsia="en-US"/>
        </w:rPr>
        <w:t>。</w:t>
      </w:r>
    </w:p>
    <w:p w14:paraId="2FA53956">
      <w:pPr>
        <w:keepNext w:val="0"/>
        <w:keepLines w:val="0"/>
        <w:pageBreakBefore w:val="0"/>
        <w:widowControl w:val="0"/>
        <w:kinsoku/>
        <w:wordWrap/>
        <w:overflowPunct/>
        <w:topLinePunct w:val="0"/>
        <w:autoSpaceDE/>
        <w:autoSpaceDN/>
        <w:bidi w:val="0"/>
        <w:adjustRightInd/>
        <w:snapToGrid/>
        <w:spacing w:line="560" w:lineRule="exact"/>
        <w:ind w:left="0" w:right="0" w:firstLine="646"/>
        <w:jc w:val="both"/>
        <w:textAlignment w:val="auto"/>
        <w:rPr>
          <w:rFonts w:hint="eastAsia" w:ascii="仿宋_GB2312" w:hAnsi="仿宋_GB2312" w:eastAsia="仿宋_GB2312" w:cs="仿宋_GB2312"/>
          <w:snapToGrid w:val="0"/>
          <w:color w:val="auto"/>
          <w:spacing w:val="9"/>
          <w:kern w:val="0"/>
          <w:sz w:val="32"/>
          <w:szCs w:val="32"/>
          <w:lang w:val="en-US" w:eastAsia="en-US" w:bidi="ar-SA"/>
        </w:rPr>
      </w:pPr>
      <w:r>
        <w:rPr>
          <w:rFonts w:hint="eastAsia" w:ascii="仿宋_GB2312" w:hAnsi="仿宋_GB2312" w:eastAsia="仿宋_GB2312" w:cs="仿宋_GB2312"/>
          <w:snapToGrid w:val="0"/>
          <w:color w:val="auto"/>
          <w:spacing w:val="9"/>
          <w:kern w:val="0"/>
          <w:sz w:val="32"/>
          <w:szCs w:val="32"/>
          <w:lang w:val="en-US" w:eastAsia="en-US" w:bidi="ar-SA"/>
        </w:rPr>
        <w:t>（十</w:t>
      </w:r>
      <w:r>
        <w:rPr>
          <w:rFonts w:hint="eastAsia" w:ascii="仿宋_GB2312" w:hAnsi="仿宋_GB2312" w:eastAsia="仿宋_GB2312" w:cs="仿宋_GB2312"/>
          <w:snapToGrid w:val="0"/>
          <w:color w:val="auto"/>
          <w:spacing w:val="9"/>
          <w:kern w:val="0"/>
          <w:sz w:val="32"/>
          <w:szCs w:val="32"/>
          <w:lang w:val="en-US" w:eastAsia="zh-CN" w:bidi="ar-SA"/>
        </w:rPr>
        <w:t>一</w:t>
      </w:r>
      <w:r>
        <w:rPr>
          <w:rFonts w:hint="eastAsia" w:ascii="仿宋_GB2312" w:hAnsi="仿宋_GB2312" w:eastAsia="仿宋_GB2312" w:cs="仿宋_GB2312"/>
          <w:snapToGrid w:val="0"/>
          <w:color w:val="auto"/>
          <w:spacing w:val="9"/>
          <w:kern w:val="0"/>
          <w:sz w:val="32"/>
          <w:szCs w:val="32"/>
          <w:lang w:val="en-US" w:eastAsia="en-US" w:bidi="ar-SA"/>
        </w:rPr>
        <w:t>）礼仪规定</w:t>
      </w:r>
    </w:p>
    <w:p w14:paraId="783CB060">
      <w:pPr>
        <w:keepNext w:val="0"/>
        <w:keepLines w:val="0"/>
        <w:pageBreakBefore w:val="0"/>
        <w:widowControl w:val="0"/>
        <w:kinsoku/>
        <w:wordWrap/>
        <w:overflowPunct/>
        <w:topLinePunct w:val="0"/>
        <w:autoSpaceDE/>
        <w:autoSpaceDN/>
        <w:bidi w:val="0"/>
        <w:adjustRightInd/>
        <w:snapToGrid/>
        <w:spacing w:line="560" w:lineRule="exact"/>
        <w:ind w:left="0" w:right="0" w:firstLine="646"/>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en-US" w:bidi="ar-SA"/>
        </w:rPr>
        <w:t>1.赛前、赛后执行握手礼仪比赛结束后，双方球队应列队到对方球队技术区前集体行礼致谢。</w:t>
      </w:r>
    </w:p>
    <w:p w14:paraId="204361C9">
      <w:pPr>
        <w:keepNext w:val="0"/>
        <w:keepLines w:val="0"/>
        <w:pageBreakBefore w:val="0"/>
        <w:widowControl w:val="0"/>
        <w:kinsoku/>
        <w:wordWrap/>
        <w:overflowPunct/>
        <w:topLinePunct w:val="0"/>
        <w:autoSpaceDE/>
        <w:autoSpaceDN/>
        <w:bidi w:val="0"/>
        <w:adjustRightInd/>
        <w:snapToGrid/>
        <w:spacing w:line="560" w:lineRule="exact"/>
        <w:ind w:left="0" w:right="0" w:firstLine="646"/>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en-US" w:bidi="ar-SA"/>
        </w:rPr>
        <w:t>2.如参赛球队不执行前款的规定礼仪，赛事组委会将对领队和教练组进行通报批评，并可视情节</w:t>
      </w:r>
      <w:r>
        <w:rPr>
          <w:rFonts w:hint="eastAsia" w:ascii="仿宋_GB2312" w:hAnsi="仿宋_GB2312" w:eastAsia="仿宋_GB2312" w:cs="仿宋_GB2312"/>
          <w:color w:val="auto"/>
          <w:spacing w:val="0"/>
          <w:w w:val="100"/>
          <w:kern w:val="2"/>
          <w:sz w:val="32"/>
          <w:szCs w:val="32"/>
          <w:lang w:val="en-US" w:eastAsia="zh-CN" w:bidi="ar-SA"/>
        </w:rPr>
        <w:t>作出</w:t>
      </w:r>
      <w:r>
        <w:rPr>
          <w:rFonts w:hint="eastAsia" w:ascii="仿宋_GB2312" w:hAnsi="仿宋_GB2312" w:eastAsia="仿宋_GB2312" w:cs="仿宋_GB2312"/>
          <w:color w:val="auto"/>
          <w:spacing w:val="0"/>
          <w:w w:val="100"/>
          <w:kern w:val="2"/>
          <w:sz w:val="32"/>
          <w:szCs w:val="32"/>
          <w:lang w:val="en-US" w:eastAsia="en-US" w:bidi="ar-SA"/>
        </w:rPr>
        <w:t>进一步处罚。</w:t>
      </w:r>
    </w:p>
    <w:p w14:paraId="25B55C67">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（十二）补赛规定</w:t>
      </w:r>
    </w:p>
    <w:p w14:paraId="59B4DDD4">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参赛队伍因故不能正常参加比赛，需提前告知组委会。补赛时间由参赛双方协商并报组委会同意，因补赛产生的相关费用（如场地布置、医疗急救等）由提出调整赛程的单位负责。</w:t>
      </w:r>
    </w:p>
    <w:p w14:paraId="706B34CA">
      <w:pPr>
        <w:keepNext w:val="0"/>
        <w:keepLines w:val="0"/>
        <w:pageBreakBefore w:val="0"/>
        <w:widowControl w:val="0"/>
        <w:tabs>
          <w:tab w:val="left" w:pos="54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宋体"/>
          <w:sz w:val="32"/>
          <w:szCs w:val="32"/>
          <w:lang w:val="en-US" w:eastAsia="en-US"/>
        </w:rPr>
      </w:pPr>
      <w:r>
        <w:rPr>
          <w:rFonts w:hint="eastAsia" w:ascii="仿宋_GB2312" w:hAnsi="仿宋_GB2312" w:eastAsia="仿宋_GB2312" w:cs="仿宋_GB2312"/>
          <w:color w:val="auto"/>
          <w:sz w:val="32"/>
          <w:szCs w:val="32"/>
          <w:lang w:val="en-US" w:eastAsia="zh-CN"/>
        </w:rPr>
        <w:t>（十三）根据2025—2026赛季“省长杯”全省青少年校园足球超级联赛整体安排，本次比赛最后一轮部分比赛将调整至2026年6月27日举行，具体以通知为准。</w:t>
      </w:r>
    </w:p>
    <w:p w14:paraId="50321F9D">
      <w:pPr>
        <w:keepNext w:val="0"/>
        <w:keepLines w:val="0"/>
        <w:pageBreakBefore w:val="0"/>
        <w:tabs>
          <w:tab w:val="left" w:pos="540"/>
        </w:tabs>
        <w:kinsoku/>
        <w:wordWrap/>
        <w:overflowPunct/>
        <w:topLinePunct w:val="0"/>
        <w:autoSpaceDE/>
        <w:autoSpaceDN/>
        <w:bidi w:val="0"/>
        <w:adjustRightInd/>
        <w:spacing w:line="56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九、资格审查</w:t>
      </w:r>
    </w:p>
    <w:p w14:paraId="524F5EB7">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（一）比赛设立资格和纪律监督委员会。委员会将严格按照比赛规程，对所有报名参赛运动员的资格进行审查；对弄虚作假、违反规定者将按照</w:t>
      </w:r>
      <w:r>
        <w:rPr>
          <w:rFonts w:hint="eastAsia" w:ascii="仿宋_GB2312" w:hAnsi="仿宋_GB2312" w:eastAsia="仿宋_GB2312" w:cs="仿宋_GB2312"/>
          <w:color w:val="auto"/>
          <w:sz w:val="32"/>
          <w:szCs w:val="32"/>
        </w:rPr>
        <w:t>相关规定</w:t>
      </w:r>
      <w:r>
        <w:rPr>
          <w:rFonts w:hint="eastAsia" w:ascii="仿宋_GB2312" w:hAnsi="仿宋_GB2312" w:eastAsia="仿宋_GB2312" w:cs="仿宋_GB2312"/>
          <w:color w:val="auto"/>
          <w:kern w:val="0"/>
          <w:sz w:val="32"/>
          <w:szCs w:val="32"/>
        </w:rPr>
        <w:t>予以处理。</w:t>
      </w:r>
    </w:p>
    <w:p w14:paraId="75F41A71">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资格和纪律监督委员会将在赛前、赛中、赛后对参赛运动员的资格进行核查，如在赛前发现不符合参赛资格者，将取消其参赛资格，并不得改报他人；如在赛中、赛后发现有不符合比赛资格者，将取消本人或所在队的比赛资格和成绩。</w:t>
      </w:r>
    </w:p>
    <w:p w14:paraId="2A450761">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（三）凡对参赛运动员（队）的资格问题有异议提出申诉者，需向资格审查及纪律监察委员会提交经领队签字的申诉报告书及所举报内容的证据，同时缴纳申诉费人民币</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00元。</w:t>
      </w:r>
    </w:p>
    <w:p w14:paraId="3AB7A6D8">
      <w:pPr>
        <w:keepNext w:val="0"/>
        <w:keepLines w:val="0"/>
        <w:pageBreakBefore w:val="0"/>
        <w:tabs>
          <w:tab w:val="left" w:pos="540"/>
        </w:tabs>
        <w:kinsoku/>
        <w:wordWrap/>
        <w:overflowPunct/>
        <w:topLinePunct w:val="0"/>
        <w:autoSpaceDE/>
        <w:autoSpaceDN/>
        <w:bidi w:val="0"/>
        <w:adjustRightInd/>
        <w:spacing w:line="56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十、奖励办法</w:t>
      </w:r>
    </w:p>
    <w:p w14:paraId="7916EFF5">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（一）向获得联赛前三名的队伍颁发奖杯，四至八名的队伍颁发牌匾，前八名的全体运动员颁发证书。</w:t>
      </w:r>
    </w:p>
    <w:p w14:paraId="0B78DA4C">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向获得联赛前六名队伍的教练员颁发等次指导获奖证书（高中男子超级冠军联赛是我省高中最高水平的足球联赛，获得联赛前三名队伍的主教练可等同于带队获得过全省冠军、获得联赛四至六名队伍的主教练可等同于带队获得过全省亚冠，并提供一个赛季完整训练计划、详案等训练证明）。向获得“体育道德风尚奖”的运动队、运动员颁发证书。</w:t>
      </w:r>
    </w:p>
    <w:p w14:paraId="7555DFD8">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）联赛设立“最佳运动员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最佳射手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最佳守门员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最佳阵容”</w:t>
      </w:r>
      <w:r>
        <w:rPr>
          <w:rFonts w:hint="eastAsia" w:ascii="仿宋_GB2312" w:hAnsi="仿宋_GB2312" w:eastAsia="仿宋_GB2312" w:cs="仿宋_GB2312"/>
          <w:color w:val="auto"/>
          <w:sz w:val="32"/>
          <w:szCs w:val="32"/>
          <w:lang w:val="en-US" w:eastAsia="zh-CN"/>
        </w:rPr>
        <w:t>等奖项</w:t>
      </w:r>
      <w:r>
        <w:rPr>
          <w:rFonts w:hint="eastAsia" w:ascii="仿宋_GB2312" w:hAnsi="仿宋_GB2312" w:eastAsia="仿宋_GB2312" w:cs="仿宋_GB2312"/>
          <w:color w:val="auto"/>
          <w:sz w:val="32"/>
          <w:szCs w:val="32"/>
        </w:rPr>
        <w:t>。</w:t>
      </w:r>
    </w:p>
    <w:p w14:paraId="11CB7352">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）设“最佳赛区”2个并颁发</w:t>
      </w:r>
      <w:r>
        <w:rPr>
          <w:rFonts w:hint="eastAsia" w:ascii="仿宋_GB2312" w:hAnsi="仿宋_GB2312" w:eastAsia="仿宋_GB2312" w:cs="仿宋_GB2312"/>
          <w:color w:val="auto"/>
          <w:sz w:val="32"/>
          <w:szCs w:val="32"/>
          <w:lang w:val="en-US" w:eastAsia="zh-CN"/>
        </w:rPr>
        <w:t>牌匾</w:t>
      </w:r>
      <w:r>
        <w:rPr>
          <w:rFonts w:hint="eastAsia" w:ascii="仿宋_GB2312" w:hAnsi="仿宋_GB2312" w:eastAsia="仿宋_GB2312" w:cs="仿宋_GB2312"/>
          <w:color w:val="auto"/>
          <w:sz w:val="32"/>
          <w:szCs w:val="32"/>
        </w:rPr>
        <w:t>。</w:t>
      </w:r>
    </w:p>
    <w:p w14:paraId="071F1308">
      <w:pPr>
        <w:keepNext w:val="0"/>
        <w:keepLines w:val="0"/>
        <w:pageBreakBefore w:val="0"/>
        <w:tabs>
          <w:tab w:val="left" w:pos="540"/>
        </w:tabs>
        <w:kinsoku/>
        <w:wordWrap/>
        <w:overflowPunct/>
        <w:topLinePunct w:val="0"/>
        <w:autoSpaceDE/>
        <w:autoSpaceDN/>
        <w:bidi w:val="0"/>
        <w:adjustRightInd/>
        <w:spacing w:line="56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十一、报名</w:t>
      </w:r>
    </w:p>
    <w:p w14:paraId="1C2EC68D">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sz w:val="32"/>
          <w:szCs w:val="32"/>
          <w:lang w:val="en-US" w:eastAsia="zh-CN"/>
        </w:rPr>
        <w:t>参赛单位均以所在学校为球队名称报名，每队限报领队1人、主教练1人、助理教练1人、队医1人</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lang w:val="en-US" w:eastAsia="zh-CN"/>
        </w:rPr>
        <w:t>超冠</w:t>
      </w:r>
      <w:r>
        <w:rPr>
          <w:rFonts w:hint="eastAsia" w:ascii="仿宋_GB2312" w:hAnsi="仿宋_GB2312" w:eastAsia="仿宋_GB2312" w:cs="仿宋_GB2312"/>
          <w:color w:val="auto"/>
          <w:sz w:val="32"/>
          <w:szCs w:val="32"/>
        </w:rPr>
        <w:t>联赛的学校必须配备）</w:t>
      </w:r>
      <w:r>
        <w:rPr>
          <w:rFonts w:hint="eastAsia" w:ascii="仿宋_GB2312" w:hAnsi="仿宋_GB2312" w:eastAsia="仿宋_GB2312" w:cs="仿宋_GB2312"/>
          <w:color w:val="auto"/>
          <w:sz w:val="32"/>
          <w:szCs w:val="32"/>
          <w:lang w:eastAsia="zh-CN"/>
        </w:rPr>
        <w:t>和工作人员</w:t>
      </w:r>
      <w:r>
        <w:rPr>
          <w:rFonts w:hint="eastAsia" w:ascii="仿宋_GB2312" w:hAnsi="仿宋_GB2312" w:eastAsia="仿宋_GB2312" w:cs="仿宋_GB2312"/>
          <w:color w:val="auto"/>
          <w:sz w:val="32"/>
          <w:szCs w:val="32"/>
          <w:lang w:val="en-US" w:eastAsia="zh-CN"/>
        </w:rPr>
        <w:t>1人，运动员25人</w:t>
      </w:r>
      <w:r>
        <w:rPr>
          <w:rFonts w:hint="eastAsia" w:ascii="仿宋_GB2312" w:hAnsi="仿宋_GB2312" w:eastAsia="仿宋_GB2312" w:cs="仿宋_GB2312"/>
          <w:color w:val="auto"/>
          <w:sz w:val="32"/>
          <w:szCs w:val="32"/>
        </w:rPr>
        <w:t>。所有运动员必须来自同一所</w:t>
      </w:r>
      <w:r>
        <w:rPr>
          <w:rFonts w:hint="eastAsia" w:ascii="仿宋_GB2312" w:hAnsi="仿宋_GB2312" w:eastAsia="仿宋_GB2312" w:cs="仿宋_GB2312"/>
          <w:color w:val="auto"/>
          <w:sz w:val="32"/>
          <w:szCs w:val="32"/>
          <w:lang w:val="en-US" w:eastAsia="zh-CN"/>
        </w:rPr>
        <w:t>学校，运动员名单一经上报不得更改、替换；</w:t>
      </w:r>
      <w:r>
        <w:rPr>
          <w:rFonts w:hint="eastAsia" w:ascii="仿宋_GB2312" w:hAnsi="仿宋_GB2312" w:eastAsia="仿宋_GB2312" w:cs="仿宋_GB2312"/>
          <w:b/>
          <w:bCs/>
          <w:color w:val="auto"/>
          <w:sz w:val="32"/>
          <w:szCs w:val="32"/>
          <w:lang w:val="en-US" w:eastAsia="zh-CN"/>
        </w:rPr>
        <w:t>本次比赛各参赛队领队必须是学校分管领导，须全程随队，是该队安全管理第一责任人。</w:t>
      </w:r>
    </w:p>
    <w:p w14:paraId="265BC19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参赛学</w:t>
      </w:r>
      <w:r>
        <w:rPr>
          <w:rFonts w:hint="eastAsia" w:ascii="仿宋_GB2312" w:hAnsi="仿宋_GB2312" w:eastAsia="仿宋_GB2312" w:cs="仿宋_GB2312"/>
          <w:color w:val="auto"/>
          <w:sz w:val="32"/>
          <w:szCs w:val="32"/>
        </w:rPr>
        <w:t>校务必</w:t>
      </w:r>
      <w:r>
        <w:rPr>
          <w:rFonts w:hint="eastAsia" w:ascii="仿宋_GB2312" w:hAnsi="仿宋_GB2312" w:eastAsia="仿宋_GB2312" w:cs="仿宋_GB2312"/>
          <w:b w:val="0"/>
          <w:bCs w:val="0"/>
          <w:color w:val="auto"/>
          <w:sz w:val="32"/>
          <w:szCs w:val="32"/>
          <w:lang w:val="en-US" w:eastAsia="zh-CN"/>
        </w:rPr>
        <w:t>认真填写相关表格并加盖学校公章，于2026年</w:t>
      </w:r>
      <w:r>
        <w:rPr>
          <w:rFonts w:hint="eastAsia" w:ascii="仿宋_GB2312" w:hAnsi="仿宋_GB2312" w:eastAsia="仿宋_GB2312" w:cs="仿宋_GB2312"/>
          <w:b w:val="0"/>
          <w:bCs w:val="0"/>
          <w:color w:val="auto"/>
          <w:sz w:val="32"/>
          <w:szCs w:val="32"/>
          <w:highlight w:val="none"/>
          <w:lang w:val="en-US" w:eastAsia="zh-CN"/>
        </w:rPr>
        <w:t>4月30日</w:t>
      </w:r>
      <w:r>
        <w:rPr>
          <w:rFonts w:hint="eastAsia" w:ascii="仿宋_GB2312" w:hAnsi="仿宋_GB2312" w:eastAsia="仿宋_GB2312" w:cs="仿宋_GB2312"/>
          <w:b w:val="0"/>
          <w:bCs w:val="0"/>
          <w:color w:val="auto"/>
          <w:sz w:val="32"/>
          <w:szCs w:val="32"/>
          <w:lang w:val="en-US" w:eastAsia="zh-CN"/>
        </w:rPr>
        <w:t>12:00前将教练员相应资格证书、</w:t>
      </w:r>
      <w:r>
        <w:rPr>
          <w:rFonts w:hint="eastAsia" w:ascii="仿宋_GB2312" w:hAnsi="仿宋_GB2312" w:eastAsia="仿宋_GB2312" w:cs="仿宋_GB2312"/>
          <w:spacing w:val="0"/>
          <w:w w:val="100"/>
          <w:sz w:val="32"/>
          <w:szCs w:val="32"/>
        </w:rPr>
        <w:t>报名表</w:t>
      </w:r>
      <w:r>
        <w:rPr>
          <w:rFonts w:hint="eastAsia" w:ascii="仿宋_GB2312" w:hAnsi="仿宋_GB2312" w:eastAsia="仿宋_GB2312" w:cs="仿宋_GB2312"/>
          <w:spacing w:val="0"/>
          <w:w w:val="100"/>
          <w:sz w:val="32"/>
          <w:szCs w:val="32"/>
          <w:lang w:val="en-US" w:eastAsia="zh-CN"/>
        </w:rPr>
        <w:t>WORD版及盖章PDF版</w:t>
      </w:r>
      <w:r>
        <w:rPr>
          <w:rFonts w:hint="eastAsia" w:ascii="仿宋_GB2312" w:hAnsi="仿宋_GB2312" w:eastAsia="仿宋_GB2312" w:cs="仿宋_GB2312"/>
          <w:spacing w:val="0"/>
          <w:w w:val="100"/>
          <w:sz w:val="32"/>
          <w:szCs w:val="32"/>
        </w:rPr>
        <w:t>、资格审查表</w:t>
      </w:r>
      <w:r>
        <w:rPr>
          <w:rFonts w:hint="eastAsia" w:ascii="仿宋_GB2312" w:hAnsi="仿宋_GB2312" w:eastAsia="仿宋_GB2312" w:cs="仿宋_GB2312"/>
          <w:spacing w:val="0"/>
          <w:w w:val="100"/>
          <w:sz w:val="32"/>
          <w:szCs w:val="32"/>
          <w:lang w:val="en-US" w:eastAsia="zh-CN"/>
        </w:rPr>
        <w:t>EXCEL版</w:t>
      </w:r>
      <w:r>
        <w:rPr>
          <w:rFonts w:hint="eastAsia" w:ascii="仿宋_GB2312" w:hAnsi="仿宋_GB2312" w:eastAsia="仿宋_GB2312" w:cs="仿宋_GB2312"/>
          <w:b w:val="0"/>
          <w:bCs w:val="0"/>
          <w:color w:val="auto"/>
          <w:sz w:val="32"/>
          <w:szCs w:val="32"/>
          <w:lang w:val="en-US" w:eastAsia="zh-CN"/>
        </w:rPr>
        <w:t>打包以“学校名称+2026高中超冠联赛”发送到邮箱：</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"mailto:gzsxzb@163.com"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gzsxzb@163.com</w:t>
      </w:r>
      <w:r>
        <w:rPr>
          <w:rFonts w:hint="eastAsia" w:ascii="仿宋_GB2312" w:hAnsi="仿宋_GB2312" w:eastAsia="仿宋_GB2312" w:cs="仿宋_GB2312"/>
          <w:b w:val="0"/>
          <w:bCs w:val="0"/>
          <w:color w:val="auto"/>
          <w:sz w:val="32"/>
          <w:szCs w:val="32"/>
          <w:lang w:val="en-US" w:eastAsia="zh-CN"/>
        </w:rPr>
        <w:fldChar w:fldCharType="end"/>
      </w:r>
      <w:r>
        <w:rPr>
          <w:rFonts w:hint="eastAsia" w:ascii="仿宋_GB2312" w:hAnsi="仿宋_GB2312" w:eastAsia="仿宋_GB2312" w:cs="仿宋_GB2312"/>
          <w:b w:val="0"/>
          <w:bCs w:val="0"/>
          <w:color w:val="auto"/>
          <w:sz w:val="32"/>
          <w:szCs w:val="32"/>
          <w:lang w:val="en-US" w:eastAsia="zh-CN"/>
        </w:rPr>
        <w:t>，逾期不报或未按规定填写视为放弃参加资格。</w:t>
      </w:r>
    </w:p>
    <w:p w14:paraId="79F77CE4">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（三）有关要求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参赛运动员、教练员、领队及随队工作人员，必须由所在学校在当地保险公司办理赔付金额在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0万元以上的“人身意外伤害保险”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覆盖整个赛季，建议增加住院赔付比例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各参赛队</w:t>
      </w:r>
      <w:r>
        <w:rPr>
          <w:rFonts w:hint="eastAsia" w:ascii="仿宋_GB2312" w:hAnsi="仿宋_GB2312" w:eastAsia="仿宋_GB2312" w:cs="仿宋_GB2312"/>
          <w:color w:val="auto"/>
          <w:kern w:val="0"/>
          <w:sz w:val="32"/>
          <w:szCs w:val="32"/>
          <w:lang w:val="en-US" w:eastAsia="zh-CN"/>
        </w:rPr>
        <w:t>第一场比赛</w:t>
      </w:r>
      <w:r>
        <w:rPr>
          <w:rFonts w:hint="eastAsia" w:ascii="仿宋_GB2312" w:hAnsi="仿宋_GB2312" w:eastAsia="仿宋_GB2312" w:cs="仿宋_GB2312"/>
          <w:color w:val="auto"/>
          <w:kern w:val="0"/>
          <w:sz w:val="32"/>
          <w:szCs w:val="32"/>
        </w:rPr>
        <w:t>报到时，须交验运动员第二代身份证原件、“人身意外伤害</w:t>
      </w:r>
      <w:bookmarkStart w:id="0" w:name="_GoBack"/>
      <w:bookmarkEnd w:id="0"/>
      <w:r>
        <w:rPr>
          <w:rFonts w:hint="eastAsia" w:ascii="仿宋_GB2312" w:hAnsi="仿宋_GB2312" w:eastAsia="仿宋_GB2312" w:cs="仿宋_GB2312"/>
          <w:color w:val="auto"/>
          <w:kern w:val="0"/>
          <w:sz w:val="32"/>
          <w:szCs w:val="32"/>
        </w:rPr>
        <w:t>险”保险单据复印件、</w:t>
      </w:r>
      <w:r>
        <w:rPr>
          <w:rFonts w:hint="eastAsia" w:ascii="仿宋_GB2312" w:hAnsi="仿宋_GB2312" w:eastAsia="仿宋_GB2312" w:cs="仿宋_GB2312"/>
          <w:color w:val="auto"/>
          <w:kern w:val="0"/>
          <w:sz w:val="32"/>
          <w:szCs w:val="32"/>
          <w:lang w:val="en-US" w:eastAsia="zh-CN"/>
        </w:rPr>
        <w:t>三个月内</w:t>
      </w:r>
      <w:r>
        <w:rPr>
          <w:rFonts w:hint="eastAsia" w:ascii="仿宋_GB2312" w:hAnsi="仿宋_GB2312" w:eastAsia="仿宋_GB2312" w:cs="仿宋_GB2312"/>
          <w:color w:val="auto"/>
          <w:kern w:val="0"/>
          <w:sz w:val="32"/>
          <w:szCs w:val="32"/>
        </w:rPr>
        <w:t>健康体检证明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pacing w:val="0"/>
          <w:w w:val="100"/>
          <w:kern w:val="2"/>
          <w:sz w:val="30"/>
          <w:szCs w:val="30"/>
          <w:lang w:val="en-US" w:eastAsia="zh-CN" w:bidi="ar-SA"/>
        </w:rPr>
        <w:t>包含心电图、血压等与足球运动项目关联的检查）</w:t>
      </w:r>
      <w:r>
        <w:rPr>
          <w:rFonts w:hint="eastAsia" w:ascii="仿宋_GB2312" w:hAnsi="仿宋_GB2312" w:eastAsia="仿宋_GB2312" w:cs="仿宋_GB2312"/>
          <w:color w:val="auto"/>
          <w:kern w:val="0"/>
          <w:sz w:val="32"/>
          <w:szCs w:val="32"/>
          <w:lang w:eastAsia="zh-CN"/>
        </w:rPr>
        <w:t>、参赛承诺书</w:t>
      </w:r>
      <w:r>
        <w:rPr>
          <w:rFonts w:hint="eastAsia" w:ascii="仿宋_GB2312" w:hAnsi="仿宋_GB2312" w:eastAsia="仿宋_GB2312" w:cs="仿宋_GB2312"/>
          <w:color w:val="auto"/>
          <w:kern w:val="0"/>
          <w:sz w:val="32"/>
          <w:szCs w:val="32"/>
        </w:rPr>
        <w:t>，缺一者不得参赛。</w:t>
      </w:r>
    </w:p>
    <w:p w14:paraId="3FAF7EFD">
      <w:pPr>
        <w:keepNext w:val="0"/>
        <w:keepLines w:val="0"/>
        <w:pageBreakBefore w:val="0"/>
        <w:tabs>
          <w:tab w:val="left" w:pos="540"/>
        </w:tabs>
        <w:kinsoku/>
        <w:wordWrap/>
        <w:overflowPunct/>
        <w:topLinePunct w:val="0"/>
        <w:autoSpaceDE/>
        <w:autoSpaceDN/>
        <w:bidi w:val="0"/>
        <w:adjustRightInd/>
        <w:spacing w:line="56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十二、经费</w:t>
      </w:r>
    </w:p>
    <w:p w14:paraId="697D9BB5">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比赛</w:t>
      </w:r>
      <w:r>
        <w:rPr>
          <w:rFonts w:hint="eastAsia" w:ascii="仿宋_GB2312" w:hAnsi="仿宋_GB2312" w:eastAsia="仿宋_GB2312" w:cs="仿宋_GB2312"/>
          <w:color w:val="auto"/>
          <w:sz w:val="32"/>
          <w:szCs w:val="32"/>
        </w:rPr>
        <w:t>监督、</w:t>
      </w:r>
      <w:r>
        <w:rPr>
          <w:rFonts w:hint="eastAsia" w:ascii="仿宋_GB2312" w:hAnsi="仿宋_GB2312" w:eastAsia="仿宋_GB2312" w:cs="仿宋_GB2312"/>
          <w:color w:val="auto"/>
          <w:sz w:val="32"/>
          <w:szCs w:val="32"/>
          <w:lang w:val="en-US" w:eastAsia="zh-CN"/>
        </w:rPr>
        <w:t>裁判监督、</w:t>
      </w:r>
      <w:r>
        <w:rPr>
          <w:rFonts w:hint="eastAsia" w:ascii="仿宋_GB2312" w:hAnsi="仿宋_GB2312" w:eastAsia="仿宋_GB2312" w:cs="仿宋_GB2312"/>
          <w:color w:val="auto"/>
          <w:sz w:val="32"/>
          <w:szCs w:val="32"/>
        </w:rPr>
        <w:t>裁判员、</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人员的交通费、食宿费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工作酬劳</w:t>
      </w:r>
      <w:r>
        <w:rPr>
          <w:rFonts w:hint="eastAsia" w:ascii="仿宋_GB2312" w:hAnsi="仿宋_GB2312" w:eastAsia="仿宋_GB2312" w:cs="仿宋_GB2312"/>
          <w:color w:val="auto"/>
          <w:sz w:val="32"/>
          <w:szCs w:val="32"/>
          <w:lang w:val="en-US" w:eastAsia="zh-CN"/>
        </w:rPr>
        <w:t>以及赛事筹办期间的场地布置、医疗保障、器材添置、赛事转播等</w:t>
      </w:r>
      <w:r>
        <w:rPr>
          <w:rFonts w:hint="eastAsia" w:ascii="仿宋_GB2312" w:hAnsi="仿宋_GB2312" w:eastAsia="仿宋_GB2312" w:cs="仿宋_GB2312"/>
          <w:color w:val="auto"/>
          <w:sz w:val="32"/>
          <w:szCs w:val="32"/>
        </w:rPr>
        <w:t>由省教育厅负责。</w:t>
      </w:r>
      <w:r>
        <w:rPr>
          <w:rFonts w:hint="eastAsia" w:ascii="仿宋_GB2312" w:hAnsi="仿宋_GB2312" w:eastAsia="仿宋_GB2312" w:cs="仿宋_GB2312"/>
          <w:sz w:val="32"/>
          <w:szCs w:val="32"/>
        </w:rPr>
        <w:t>各参赛队</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lang w:eastAsia="zh-CN"/>
        </w:rPr>
        <w:t>保险、</w:t>
      </w:r>
      <w:r>
        <w:rPr>
          <w:rFonts w:hint="eastAsia" w:ascii="仿宋_GB2312" w:hAnsi="仿宋_GB2312" w:eastAsia="仿宋_GB2312" w:cs="仿宋_GB2312"/>
          <w:sz w:val="32"/>
          <w:szCs w:val="32"/>
        </w:rPr>
        <w:t>交通费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服装</w:t>
      </w:r>
      <w:r>
        <w:rPr>
          <w:rFonts w:hint="eastAsia" w:ascii="仿宋_GB2312" w:hAnsi="仿宋_GB2312" w:eastAsia="仿宋_GB2312" w:cs="仿宋_GB2312"/>
          <w:sz w:val="32"/>
          <w:szCs w:val="32"/>
          <w:lang w:eastAsia="zh-CN"/>
        </w:rPr>
        <w:t>等费用</w:t>
      </w:r>
      <w:r>
        <w:rPr>
          <w:rFonts w:hint="eastAsia" w:ascii="仿宋_GB2312" w:hAnsi="仿宋_GB2312" w:eastAsia="仿宋_GB2312" w:cs="仿宋_GB2312"/>
          <w:sz w:val="32"/>
          <w:szCs w:val="32"/>
          <w:lang w:val="en-US" w:eastAsia="zh-CN"/>
        </w:rPr>
        <w:t>由本单位报销</w:t>
      </w:r>
      <w:r>
        <w:rPr>
          <w:rFonts w:hint="eastAsia" w:ascii="仿宋_GB2312" w:hAnsi="仿宋_GB2312" w:eastAsia="仿宋_GB2312" w:cs="仿宋_GB2312"/>
          <w:sz w:val="32"/>
          <w:szCs w:val="32"/>
        </w:rPr>
        <w:t>。</w:t>
      </w:r>
    </w:p>
    <w:p w14:paraId="29DE1293">
      <w:pPr>
        <w:keepNext w:val="0"/>
        <w:keepLines w:val="0"/>
        <w:pageBreakBefore w:val="0"/>
        <w:tabs>
          <w:tab w:val="left" w:pos="540"/>
        </w:tabs>
        <w:kinsoku/>
        <w:wordWrap/>
        <w:overflowPunct/>
        <w:topLinePunct w:val="0"/>
        <w:autoSpaceDE/>
        <w:autoSpaceDN/>
        <w:bidi w:val="0"/>
        <w:adjustRightInd/>
        <w:spacing w:line="56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十三、其他事宜</w:t>
      </w:r>
    </w:p>
    <w:p w14:paraId="5C1378EF">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（一）各校要成立以分管副校长为组长的联赛工作领导小组，整合办公室、宣传</w:t>
      </w:r>
      <w:r>
        <w:rPr>
          <w:rFonts w:hint="eastAsia" w:ascii="仿宋_GB2312" w:hAnsi="仿宋_GB2312" w:eastAsia="仿宋_GB2312" w:cs="仿宋_GB2312"/>
          <w:color w:val="auto"/>
          <w:sz w:val="32"/>
          <w:szCs w:val="32"/>
        </w:rPr>
        <w:t>部、团委、后勤处等部门人员力量做好各项准备工作，通过各种手段与新媒体大力营造</w:t>
      </w:r>
      <w:r>
        <w:rPr>
          <w:rFonts w:hint="eastAsia" w:ascii="仿宋_GB2312" w:hAnsi="仿宋_GB2312" w:eastAsia="仿宋_GB2312" w:cs="仿宋_GB2312"/>
          <w:color w:val="auto"/>
          <w:sz w:val="32"/>
          <w:szCs w:val="32"/>
          <w:lang w:val="en-US" w:eastAsia="zh-CN"/>
        </w:rPr>
        <w:t>高校青少年</w:t>
      </w:r>
      <w:r>
        <w:rPr>
          <w:rFonts w:hint="eastAsia" w:ascii="仿宋_GB2312" w:hAnsi="仿宋_GB2312" w:eastAsia="仿宋_GB2312" w:cs="仿宋_GB2312"/>
          <w:color w:val="auto"/>
          <w:sz w:val="32"/>
          <w:szCs w:val="32"/>
        </w:rPr>
        <w:t>校园足球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超级星期三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sz w:val="32"/>
          <w:szCs w:val="32"/>
        </w:rPr>
        <w:t>良好氛围，同时加强主场观众管理，确保比赛顺利进行。</w:t>
      </w:r>
    </w:p>
    <w:p w14:paraId="5650C7B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联赛的冠名权、广告发布权及经营管理权属主办单位，未经许可不得在赛场、赛服等处进行广告宣传，否则将承担因此而引起的一切法律、经济后果。</w:t>
      </w:r>
    </w:p>
    <w:p w14:paraId="0E835E2A">
      <w:pPr>
        <w:keepNext w:val="0"/>
        <w:keepLines w:val="0"/>
        <w:pageBreakBefore w:val="0"/>
        <w:widowControl/>
        <w:tabs>
          <w:tab w:val="left" w:pos="1309"/>
        </w:tabs>
        <w:kinsoku/>
        <w:wordWrap/>
        <w:overflowPunct/>
        <w:topLinePunct w:val="0"/>
        <w:autoSpaceDE/>
        <w:autoSpaceDN/>
        <w:bidi w:val="0"/>
        <w:adjustRightInd/>
        <w:snapToGrid w:val="0"/>
        <w:spacing w:line="560" w:lineRule="exact"/>
        <w:ind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请各参赛队自备2号校旗（240cm*160cm）2面。</w:t>
      </w:r>
    </w:p>
    <w:p w14:paraId="3B009CF7">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）未尽事宜另行通知，本规程解释权属</w:t>
      </w:r>
      <w:r>
        <w:rPr>
          <w:rFonts w:hint="eastAsia" w:ascii="仿宋_GB2312" w:hAnsi="仿宋_GB2312" w:eastAsia="仿宋_GB2312" w:cs="仿宋_GB2312"/>
          <w:kern w:val="0"/>
          <w:sz w:val="32"/>
          <w:szCs w:val="32"/>
          <w:lang w:val="en-US" w:eastAsia="zh-CN"/>
        </w:rPr>
        <w:t>主办方所有</w:t>
      </w:r>
      <w:r>
        <w:rPr>
          <w:rFonts w:hint="eastAsia" w:ascii="仿宋_GB2312" w:hAnsi="仿宋_GB2312" w:eastAsia="仿宋_GB2312" w:cs="仿宋_GB2312"/>
          <w:kern w:val="0"/>
          <w:sz w:val="32"/>
          <w:szCs w:val="32"/>
        </w:rPr>
        <w:t>。</w:t>
      </w:r>
    </w:p>
    <w:p w14:paraId="4CBD97F1">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rPr>
          <w:rFonts w:hint="eastAsia" w:ascii="仿宋_GB2312" w:hAnsi="仿宋_GB2312" w:eastAsia="仿宋_GB2312" w:cs="仿宋_GB2312"/>
          <w:kern w:val="0"/>
          <w:sz w:val="32"/>
          <w:szCs w:val="32"/>
        </w:rPr>
      </w:pPr>
    </w:p>
    <w:p w14:paraId="6051173E">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rPr>
          <w:rFonts w:hint="eastAsia" w:ascii="仿宋_GB2312" w:hAnsi="仿宋_GB2312" w:eastAsia="仿宋_GB2312" w:cs="仿宋_GB2312"/>
          <w:kern w:val="0"/>
          <w:sz w:val="32"/>
          <w:szCs w:val="32"/>
        </w:rPr>
      </w:pPr>
    </w:p>
    <w:p w14:paraId="3DA77C71">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rPr>
          <w:rFonts w:hint="eastAsia" w:ascii="仿宋_GB2312" w:hAnsi="仿宋_GB2312" w:eastAsia="仿宋_GB2312" w:cs="仿宋_GB2312"/>
          <w:kern w:val="0"/>
          <w:sz w:val="32"/>
          <w:szCs w:val="32"/>
        </w:rPr>
      </w:pPr>
    </w:p>
    <w:p w14:paraId="27165C92">
      <w:pPr>
        <w:pStyle w:val="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b/>
          <w:bCs/>
          <w:snapToGrid w:val="0"/>
          <w:color w:val="000000"/>
          <w:spacing w:val="9"/>
          <w:kern w:val="0"/>
          <w:sz w:val="32"/>
          <w:szCs w:val="32"/>
          <w:lang w:val="en-US" w:eastAsia="zh-CN" w:bidi="ar-SA"/>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1386F0-98B7-4872-84CC-0B66137DA2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ABAE34-4CCC-4686-BE98-D7E55973F4CD}"/>
  </w:font>
  <w:font w:name="仿宋">
    <w:panose1 w:val="02010609060101010101"/>
    <w:charset w:val="86"/>
    <w:family w:val="auto"/>
    <w:pitch w:val="default"/>
    <w:sig w:usb0="800002BF" w:usb1="38CF7CFA" w:usb2="00000016" w:usb3="00000000" w:csb0="00040001" w:csb1="00000000"/>
    <w:embedRegular r:id="rId3" w:fontKey="{D5F05455-06D8-49E5-B85E-7364DE62133C}"/>
  </w:font>
  <w:font w:name="仿宋_GB2312">
    <w:panose1 w:val="02010609030101010101"/>
    <w:charset w:val="86"/>
    <w:family w:val="modern"/>
    <w:pitch w:val="default"/>
    <w:sig w:usb0="00000001" w:usb1="080E0000" w:usb2="00000000" w:usb3="00000000" w:csb0="00040000" w:csb1="00000000"/>
    <w:embedRegular r:id="rId4" w:fontKey="{3E4A3480-142C-40DE-837D-07748C49BD6E}"/>
  </w:font>
  <w:font w:name="方正小标宋简体">
    <w:panose1 w:val="02000000000000000000"/>
    <w:charset w:val="86"/>
    <w:family w:val="auto"/>
    <w:pitch w:val="default"/>
    <w:sig w:usb0="00000001" w:usb1="080E0000" w:usb2="00000000" w:usb3="00000000" w:csb0="00040000" w:csb1="00000000"/>
    <w:embedRegular r:id="rId5" w:fontKey="{0F3C2C23-4CBA-4614-B22D-30B415A337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5513">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FACAA">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EFFACAA">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B81C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982B9">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CB982B9">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2A85"/>
    <w:rsid w:val="01012A67"/>
    <w:rsid w:val="0134736C"/>
    <w:rsid w:val="015D38BF"/>
    <w:rsid w:val="016715EA"/>
    <w:rsid w:val="01807330"/>
    <w:rsid w:val="01975439"/>
    <w:rsid w:val="01DB7ED5"/>
    <w:rsid w:val="022C24DE"/>
    <w:rsid w:val="024255D8"/>
    <w:rsid w:val="02706589"/>
    <w:rsid w:val="02B96468"/>
    <w:rsid w:val="02F42BD4"/>
    <w:rsid w:val="031D3EF0"/>
    <w:rsid w:val="042468D3"/>
    <w:rsid w:val="04530F7D"/>
    <w:rsid w:val="04E52EB2"/>
    <w:rsid w:val="0548762F"/>
    <w:rsid w:val="056868C8"/>
    <w:rsid w:val="05816D3C"/>
    <w:rsid w:val="05895780"/>
    <w:rsid w:val="058B55D6"/>
    <w:rsid w:val="059903BE"/>
    <w:rsid w:val="05A603DF"/>
    <w:rsid w:val="05B96584"/>
    <w:rsid w:val="05C81985"/>
    <w:rsid w:val="05D14557"/>
    <w:rsid w:val="05D65A75"/>
    <w:rsid w:val="05DD06BF"/>
    <w:rsid w:val="05EF6F4C"/>
    <w:rsid w:val="06002C3E"/>
    <w:rsid w:val="069C7CC4"/>
    <w:rsid w:val="06AD1A6A"/>
    <w:rsid w:val="06B754DD"/>
    <w:rsid w:val="06BC02D5"/>
    <w:rsid w:val="06CA3863"/>
    <w:rsid w:val="06D34AB0"/>
    <w:rsid w:val="06E55257"/>
    <w:rsid w:val="06FE67EB"/>
    <w:rsid w:val="081E4FBF"/>
    <w:rsid w:val="084F1FA0"/>
    <w:rsid w:val="08532728"/>
    <w:rsid w:val="08630AB1"/>
    <w:rsid w:val="09181A0E"/>
    <w:rsid w:val="09450B89"/>
    <w:rsid w:val="095F2853"/>
    <w:rsid w:val="099A310A"/>
    <w:rsid w:val="09D771D4"/>
    <w:rsid w:val="09F84404"/>
    <w:rsid w:val="09FE743C"/>
    <w:rsid w:val="0A4D0DB0"/>
    <w:rsid w:val="0ABF3657"/>
    <w:rsid w:val="0AC37758"/>
    <w:rsid w:val="0AD31B33"/>
    <w:rsid w:val="0B1C2265"/>
    <w:rsid w:val="0B273AD6"/>
    <w:rsid w:val="0B3C0256"/>
    <w:rsid w:val="0B784B6C"/>
    <w:rsid w:val="0B9B14C3"/>
    <w:rsid w:val="0BF202F5"/>
    <w:rsid w:val="0CB67DE0"/>
    <w:rsid w:val="0CEC11E8"/>
    <w:rsid w:val="0D256B12"/>
    <w:rsid w:val="0D287987"/>
    <w:rsid w:val="0D9B0DE1"/>
    <w:rsid w:val="0E2760E0"/>
    <w:rsid w:val="0E2844A2"/>
    <w:rsid w:val="0E2F7F1F"/>
    <w:rsid w:val="0E5203C3"/>
    <w:rsid w:val="0E7F24D9"/>
    <w:rsid w:val="0E816632"/>
    <w:rsid w:val="0ED96E05"/>
    <w:rsid w:val="0EFD76DC"/>
    <w:rsid w:val="0F095B51"/>
    <w:rsid w:val="0F5F3EF3"/>
    <w:rsid w:val="0F712A9F"/>
    <w:rsid w:val="0FD12101"/>
    <w:rsid w:val="10077DDD"/>
    <w:rsid w:val="1008458B"/>
    <w:rsid w:val="101F3682"/>
    <w:rsid w:val="10466E61"/>
    <w:rsid w:val="104860A8"/>
    <w:rsid w:val="106D74D6"/>
    <w:rsid w:val="10753310"/>
    <w:rsid w:val="10B15251"/>
    <w:rsid w:val="10B97633"/>
    <w:rsid w:val="10C04426"/>
    <w:rsid w:val="110F633B"/>
    <w:rsid w:val="1151658F"/>
    <w:rsid w:val="117F109E"/>
    <w:rsid w:val="119007C7"/>
    <w:rsid w:val="119500A0"/>
    <w:rsid w:val="11B81A77"/>
    <w:rsid w:val="121E7D94"/>
    <w:rsid w:val="127E5FB0"/>
    <w:rsid w:val="12A85A64"/>
    <w:rsid w:val="12FE721C"/>
    <w:rsid w:val="130447F3"/>
    <w:rsid w:val="1304701D"/>
    <w:rsid w:val="13092230"/>
    <w:rsid w:val="130E0B11"/>
    <w:rsid w:val="1319085D"/>
    <w:rsid w:val="132105E5"/>
    <w:rsid w:val="13B86ED3"/>
    <w:rsid w:val="13C62793"/>
    <w:rsid w:val="13CC5D99"/>
    <w:rsid w:val="13ED2797"/>
    <w:rsid w:val="13F07810"/>
    <w:rsid w:val="141D7019"/>
    <w:rsid w:val="1466448D"/>
    <w:rsid w:val="14B363B6"/>
    <w:rsid w:val="151D483A"/>
    <w:rsid w:val="15545B7C"/>
    <w:rsid w:val="1556720A"/>
    <w:rsid w:val="15703208"/>
    <w:rsid w:val="15B638C7"/>
    <w:rsid w:val="16054941"/>
    <w:rsid w:val="16292C5C"/>
    <w:rsid w:val="164E5B17"/>
    <w:rsid w:val="16A547E8"/>
    <w:rsid w:val="175E4068"/>
    <w:rsid w:val="17942758"/>
    <w:rsid w:val="17D6023F"/>
    <w:rsid w:val="17E254F2"/>
    <w:rsid w:val="17F66556"/>
    <w:rsid w:val="181A5217"/>
    <w:rsid w:val="184B492E"/>
    <w:rsid w:val="18506ACF"/>
    <w:rsid w:val="188D4630"/>
    <w:rsid w:val="19295CF6"/>
    <w:rsid w:val="196E7E2F"/>
    <w:rsid w:val="19DC10E5"/>
    <w:rsid w:val="19DE635C"/>
    <w:rsid w:val="1A420699"/>
    <w:rsid w:val="1A473F02"/>
    <w:rsid w:val="1A976C37"/>
    <w:rsid w:val="1A981E4A"/>
    <w:rsid w:val="1AD433EB"/>
    <w:rsid w:val="1AF26EB4"/>
    <w:rsid w:val="1B8F0F39"/>
    <w:rsid w:val="1B9A5F64"/>
    <w:rsid w:val="1BAC6CFE"/>
    <w:rsid w:val="1BF11252"/>
    <w:rsid w:val="1C024584"/>
    <w:rsid w:val="1C8A1D1F"/>
    <w:rsid w:val="1C93342E"/>
    <w:rsid w:val="1CB6711D"/>
    <w:rsid w:val="1D7F0399"/>
    <w:rsid w:val="1DED6B6E"/>
    <w:rsid w:val="1DF44011"/>
    <w:rsid w:val="1E326C77"/>
    <w:rsid w:val="1E74103D"/>
    <w:rsid w:val="1E8574AB"/>
    <w:rsid w:val="1E857F63"/>
    <w:rsid w:val="1EB02100"/>
    <w:rsid w:val="1EC758F8"/>
    <w:rsid w:val="1EF351FB"/>
    <w:rsid w:val="1EF6243B"/>
    <w:rsid w:val="1F120F82"/>
    <w:rsid w:val="1F6C567D"/>
    <w:rsid w:val="1F920609"/>
    <w:rsid w:val="1F980D5B"/>
    <w:rsid w:val="203E7B55"/>
    <w:rsid w:val="205355EF"/>
    <w:rsid w:val="20EE6560"/>
    <w:rsid w:val="20F30026"/>
    <w:rsid w:val="21130FE1"/>
    <w:rsid w:val="211408FD"/>
    <w:rsid w:val="21296020"/>
    <w:rsid w:val="213845ED"/>
    <w:rsid w:val="216A1EFD"/>
    <w:rsid w:val="21704353"/>
    <w:rsid w:val="221542C1"/>
    <w:rsid w:val="22256E39"/>
    <w:rsid w:val="226F3F88"/>
    <w:rsid w:val="229A3109"/>
    <w:rsid w:val="22A67210"/>
    <w:rsid w:val="22C07DBD"/>
    <w:rsid w:val="23277985"/>
    <w:rsid w:val="23A011DF"/>
    <w:rsid w:val="23B040EB"/>
    <w:rsid w:val="23B86711"/>
    <w:rsid w:val="23ED2245"/>
    <w:rsid w:val="240644A9"/>
    <w:rsid w:val="2443416E"/>
    <w:rsid w:val="245E6A40"/>
    <w:rsid w:val="247620EA"/>
    <w:rsid w:val="24DB6D76"/>
    <w:rsid w:val="25450364"/>
    <w:rsid w:val="256E67E6"/>
    <w:rsid w:val="257C53A7"/>
    <w:rsid w:val="2580651A"/>
    <w:rsid w:val="25D32778"/>
    <w:rsid w:val="262A032E"/>
    <w:rsid w:val="26490F16"/>
    <w:rsid w:val="26612212"/>
    <w:rsid w:val="26612BE0"/>
    <w:rsid w:val="267E3E45"/>
    <w:rsid w:val="268A7650"/>
    <w:rsid w:val="269B6430"/>
    <w:rsid w:val="26C00278"/>
    <w:rsid w:val="26C1503C"/>
    <w:rsid w:val="26F23CF9"/>
    <w:rsid w:val="26F53DAC"/>
    <w:rsid w:val="27007912"/>
    <w:rsid w:val="27275861"/>
    <w:rsid w:val="277361E8"/>
    <w:rsid w:val="27ED7236"/>
    <w:rsid w:val="27F37477"/>
    <w:rsid w:val="27F62C1E"/>
    <w:rsid w:val="280671AA"/>
    <w:rsid w:val="282F2FC0"/>
    <w:rsid w:val="283B40D1"/>
    <w:rsid w:val="28A661CE"/>
    <w:rsid w:val="29C0782D"/>
    <w:rsid w:val="2A473AAA"/>
    <w:rsid w:val="2A4B5348"/>
    <w:rsid w:val="2A703EB9"/>
    <w:rsid w:val="2A841EDB"/>
    <w:rsid w:val="2AA16F1D"/>
    <w:rsid w:val="2AB24F59"/>
    <w:rsid w:val="2B1F7D54"/>
    <w:rsid w:val="2B4F0E68"/>
    <w:rsid w:val="2B57350E"/>
    <w:rsid w:val="2B6F6DA0"/>
    <w:rsid w:val="2BA22FBC"/>
    <w:rsid w:val="2BA34CD4"/>
    <w:rsid w:val="2BC32DEA"/>
    <w:rsid w:val="2BC453B2"/>
    <w:rsid w:val="2BC565F5"/>
    <w:rsid w:val="2BD74399"/>
    <w:rsid w:val="2C0159AA"/>
    <w:rsid w:val="2C2A6C0A"/>
    <w:rsid w:val="2C9D2ECC"/>
    <w:rsid w:val="2CB30748"/>
    <w:rsid w:val="2CF972DD"/>
    <w:rsid w:val="2D5F5748"/>
    <w:rsid w:val="2DB70EB7"/>
    <w:rsid w:val="2E153F15"/>
    <w:rsid w:val="2E235BCD"/>
    <w:rsid w:val="2E61458C"/>
    <w:rsid w:val="2EAE499C"/>
    <w:rsid w:val="2EE85E79"/>
    <w:rsid w:val="2F634EE2"/>
    <w:rsid w:val="2F701EB2"/>
    <w:rsid w:val="2FE42892"/>
    <w:rsid w:val="2FE627C4"/>
    <w:rsid w:val="2FE70C36"/>
    <w:rsid w:val="304F03C5"/>
    <w:rsid w:val="30673A76"/>
    <w:rsid w:val="307F6A08"/>
    <w:rsid w:val="3094502D"/>
    <w:rsid w:val="30C53AB5"/>
    <w:rsid w:val="30E90748"/>
    <w:rsid w:val="311900FA"/>
    <w:rsid w:val="3195152F"/>
    <w:rsid w:val="31A627B9"/>
    <w:rsid w:val="31C53C32"/>
    <w:rsid w:val="32015D09"/>
    <w:rsid w:val="32306797"/>
    <w:rsid w:val="32640AA7"/>
    <w:rsid w:val="32C97752"/>
    <w:rsid w:val="32D81743"/>
    <w:rsid w:val="332E733A"/>
    <w:rsid w:val="33792F1A"/>
    <w:rsid w:val="348A2F11"/>
    <w:rsid w:val="34D20A5B"/>
    <w:rsid w:val="350702FB"/>
    <w:rsid w:val="351D1FD7"/>
    <w:rsid w:val="35260E8C"/>
    <w:rsid w:val="355F614C"/>
    <w:rsid w:val="356C7D3D"/>
    <w:rsid w:val="35741CDB"/>
    <w:rsid w:val="358237FA"/>
    <w:rsid w:val="35D70E1B"/>
    <w:rsid w:val="3606272C"/>
    <w:rsid w:val="361C1B71"/>
    <w:rsid w:val="36910096"/>
    <w:rsid w:val="36BC6E5D"/>
    <w:rsid w:val="36EA7C97"/>
    <w:rsid w:val="3767769F"/>
    <w:rsid w:val="376D693C"/>
    <w:rsid w:val="37D6338C"/>
    <w:rsid w:val="37FB0D0F"/>
    <w:rsid w:val="3802344A"/>
    <w:rsid w:val="38170F5F"/>
    <w:rsid w:val="382D5C4B"/>
    <w:rsid w:val="38872CA5"/>
    <w:rsid w:val="38A30A45"/>
    <w:rsid w:val="38A42F2B"/>
    <w:rsid w:val="391E49EA"/>
    <w:rsid w:val="39304172"/>
    <w:rsid w:val="39490F23"/>
    <w:rsid w:val="39A5656F"/>
    <w:rsid w:val="39D037EE"/>
    <w:rsid w:val="39F72DF7"/>
    <w:rsid w:val="3A343A49"/>
    <w:rsid w:val="3A997C96"/>
    <w:rsid w:val="3A9E6A0C"/>
    <w:rsid w:val="3AA34D2C"/>
    <w:rsid w:val="3ADE3208"/>
    <w:rsid w:val="3AFB0C3A"/>
    <w:rsid w:val="3B024400"/>
    <w:rsid w:val="3B253993"/>
    <w:rsid w:val="3B3D3C2D"/>
    <w:rsid w:val="3B5D137F"/>
    <w:rsid w:val="3B6A55BB"/>
    <w:rsid w:val="3B9823B7"/>
    <w:rsid w:val="3BC80746"/>
    <w:rsid w:val="3BD467F7"/>
    <w:rsid w:val="3C0E74C3"/>
    <w:rsid w:val="3C1A7270"/>
    <w:rsid w:val="3C522E04"/>
    <w:rsid w:val="3C681D8A"/>
    <w:rsid w:val="3C740536"/>
    <w:rsid w:val="3C7F5AE1"/>
    <w:rsid w:val="3CE51035"/>
    <w:rsid w:val="3D5A10B7"/>
    <w:rsid w:val="3D6A5F84"/>
    <w:rsid w:val="3DA65B2E"/>
    <w:rsid w:val="3E014244"/>
    <w:rsid w:val="3E704F26"/>
    <w:rsid w:val="3EBE3EE3"/>
    <w:rsid w:val="3EF773F5"/>
    <w:rsid w:val="3FD62124"/>
    <w:rsid w:val="3FE17AB1"/>
    <w:rsid w:val="40490124"/>
    <w:rsid w:val="407C0274"/>
    <w:rsid w:val="408A12C9"/>
    <w:rsid w:val="40AB15E5"/>
    <w:rsid w:val="40D41E5E"/>
    <w:rsid w:val="41894C7C"/>
    <w:rsid w:val="41A575DC"/>
    <w:rsid w:val="426F3B88"/>
    <w:rsid w:val="42755200"/>
    <w:rsid w:val="427A64AB"/>
    <w:rsid w:val="427D1B8C"/>
    <w:rsid w:val="428E4364"/>
    <w:rsid w:val="42A60D98"/>
    <w:rsid w:val="437C1C2F"/>
    <w:rsid w:val="43AD49E6"/>
    <w:rsid w:val="43B266F7"/>
    <w:rsid w:val="43DE482C"/>
    <w:rsid w:val="43F52B58"/>
    <w:rsid w:val="43F57629"/>
    <w:rsid w:val="446C48BB"/>
    <w:rsid w:val="447925D1"/>
    <w:rsid w:val="44B2430B"/>
    <w:rsid w:val="44BA3FF7"/>
    <w:rsid w:val="44BD7280"/>
    <w:rsid w:val="44CA6317"/>
    <w:rsid w:val="44CD5C33"/>
    <w:rsid w:val="44D84D3C"/>
    <w:rsid w:val="45153531"/>
    <w:rsid w:val="45232EC1"/>
    <w:rsid w:val="45301372"/>
    <w:rsid w:val="455120D4"/>
    <w:rsid w:val="46445AA3"/>
    <w:rsid w:val="46651B87"/>
    <w:rsid w:val="466D0097"/>
    <w:rsid w:val="46C46EB5"/>
    <w:rsid w:val="474C1993"/>
    <w:rsid w:val="47B85A00"/>
    <w:rsid w:val="47D504B7"/>
    <w:rsid w:val="480031DD"/>
    <w:rsid w:val="48463604"/>
    <w:rsid w:val="487B2E45"/>
    <w:rsid w:val="48BB7971"/>
    <w:rsid w:val="48C37CC6"/>
    <w:rsid w:val="48E22159"/>
    <w:rsid w:val="48F644C0"/>
    <w:rsid w:val="490746D8"/>
    <w:rsid w:val="491737F8"/>
    <w:rsid w:val="49946279"/>
    <w:rsid w:val="49A66CF3"/>
    <w:rsid w:val="49AF660E"/>
    <w:rsid w:val="4A183615"/>
    <w:rsid w:val="4A45370A"/>
    <w:rsid w:val="4A4C307E"/>
    <w:rsid w:val="4A691B81"/>
    <w:rsid w:val="4A88006B"/>
    <w:rsid w:val="4AA5596D"/>
    <w:rsid w:val="4AEF13D0"/>
    <w:rsid w:val="4AF02A73"/>
    <w:rsid w:val="4AF55130"/>
    <w:rsid w:val="4B154245"/>
    <w:rsid w:val="4B2A5F2A"/>
    <w:rsid w:val="4B3B2851"/>
    <w:rsid w:val="4BA11667"/>
    <w:rsid w:val="4BA35B5D"/>
    <w:rsid w:val="4BE53A2A"/>
    <w:rsid w:val="4CA467F9"/>
    <w:rsid w:val="4CE92A73"/>
    <w:rsid w:val="4CF0139E"/>
    <w:rsid w:val="4D746D8D"/>
    <w:rsid w:val="4D810EFD"/>
    <w:rsid w:val="4DAD14D8"/>
    <w:rsid w:val="4DB54460"/>
    <w:rsid w:val="4E7A2CC3"/>
    <w:rsid w:val="4EF13E61"/>
    <w:rsid w:val="4F0040A4"/>
    <w:rsid w:val="4F682968"/>
    <w:rsid w:val="4FED1413"/>
    <w:rsid w:val="50854860"/>
    <w:rsid w:val="509E3B74"/>
    <w:rsid w:val="50B70862"/>
    <w:rsid w:val="51004D18"/>
    <w:rsid w:val="51036280"/>
    <w:rsid w:val="512A2577"/>
    <w:rsid w:val="51581F75"/>
    <w:rsid w:val="51B82748"/>
    <w:rsid w:val="52247C5D"/>
    <w:rsid w:val="52397523"/>
    <w:rsid w:val="528648C0"/>
    <w:rsid w:val="52F821D4"/>
    <w:rsid w:val="52FF1A0D"/>
    <w:rsid w:val="5327235A"/>
    <w:rsid w:val="53597931"/>
    <w:rsid w:val="53661562"/>
    <w:rsid w:val="53A042C7"/>
    <w:rsid w:val="53D43F85"/>
    <w:rsid w:val="54047A2B"/>
    <w:rsid w:val="542919A7"/>
    <w:rsid w:val="54837309"/>
    <w:rsid w:val="548A5F78"/>
    <w:rsid w:val="54B51D52"/>
    <w:rsid w:val="555E7D76"/>
    <w:rsid w:val="55774994"/>
    <w:rsid w:val="557D59D2"/>
    <w:rsid w:val="55930E46"/>
    <w:rsid w:val="55D21FF1"/>
    <w:rsid w:val="55EB6C16"/>
    <w:rsid w:val="55FB0AE9"/>
    <w:rsid w:val="56313B33"/>
    <w:rsid w:val="566C67F8"/>
    <w:rsid w:val="56EA7B13"/>
    <w:rsid w:val="56EC04D6"/>
    <w:rsid w:val="570D735E"/>
    <w:rsid w:val="572B714D"/>
    <w:rsid w:val="57400BE8"/>
    <w:rsid w:val="5744380E"/>
    <w:rsid w:val="576D604E"/>
    <w:rsid w:val="57705BD3"/>
    <w:rsid w:val="58387355"/>
    <w:rsid w:val="58387DF5"/>
    <w:rsid w:val="585321ED"/>
    <w:rsid w:val="58931FAA"/>
    <w:rsid w:val="5897746B"/>
    <w:rsid w:val="58DB3C34"/>
    <w:rsid w:val="594D016A"/>
    <w:rsid w:val="5965043F"/>
    <w:rsid w:val="59724A43"/>
    <w:rsid w:val="597B59E0"/>
    <w:rsid w:val="59D52CF9"/>
    <w:rsid w:val="5A755946"/>
    <w:rsid w:val="5A9C5209"/>
    <w:rsid w:val="5AB83A84"/>
    <w:rsid w:val="5AE3734C"/>
    <w:rsid w:val="5B1372DB"/>
    <w:rsid w:val="5B2902CB"/>
    <w:rsid w:val="5B46713C"/>
    <w:rsid w:val="5B500730"/>
    <w:rsid w:val="5B6836FC"/>
    <w:rsid w:val="5B8C769F"/>
    <w:rsid w:val="5BC87CF7"/>
    <w:rsid w:val="5BD75203"/>
    <w:rsid w:val="5CF11918"/>
    <w:rsid w:val="5CF62304"/>
    <w:rsid w:val="5CFA74CD"/>
    <w:rsid w:val="5D6460FE"/>
    <w:rsid w:val="5DEB6D90"/>
    <w:rsid w:val="5E184102"/>
    <w:rsid w:val="5E5341F0"/>
    <w:rsid w:val="5EA7143C"/>
    <w:rsid w:val="5F177C37"/>
    <w:rsid w:val="5F5E1B86"/>
    <w:rsid w:val="5F942D12"/>
    <w:rsid w:val="5FB64290"/>
    <w:rsid w:val="5FEB0458"/>
    <w:rsid w:val="601C5616"/>
    <w:rsid w:val="606F66B5"/>
    <w:rsid w:val="610C68D8"/>
    <w:rsid w:val="61105C6E"/>
    <w:rsid w:val="61243C22"/>
    <w:rsid w:val="61534318"/>
    <w:rsid w:val="615534AF"/>
    <w:rsid w:val="615C33BC"/>
    <w:rsid w:val="61BA5D22"/>
    <w:rsid w:val="621F60F6"/>
    <w:rsid w:val="62922D69"/>
    <w:rsid w:val="630261E5"/>
    <w:rsid w:val="630755A9"/>
    <w:rsid w:val="631D301E"/>
    <w:rsid w:val="63506F50"/>
    <w:rsid w:val="63525916"/>
    <w:rsid w:val="636A38F3"/>
    <w:rsid w:val="63700796"/>
    <w:rsid w:val="63B174BD"/>
    <w:rsid w:val="63BF2B8C"/>
    <w:rsid w:val="63F17E5D"/>
    <w:rsid w:val="64517DD6"/>
    <w:rsid w:val="64693581"/>
    <w:rsid w:val="64AA6967"/>
    <w:rsid w:val="64BE01BC"/>
    <w:rsid w:val="65003A97"/>
    <w:rsid w:val="65322A0A"/>
    <w:rsid w:val="66430FEE"/>
    <w:rsid w:val="66530D6E"/>
    <w:rsid w:val="666845B1"/>
    <w:rsid w:val="66854946"/>
    <w:rsid w:val="66940880"/>
    <w:rsid w:val="66A91A55"/>
    <w:rsid w:val="66AA6977"/>
    <w:rsid w:val="66B612EF"/>
    <w:rsid w:val="66CA7019"/>
    <w:rsid w:val="66E675B4"/>
    <w:rsid w:val="66EF082E"/>
    <w:rsid w:val="678636D5"/>
    <w:rsid w:val="67DC5256"/>
    <w:rsid w:val="6841155D"/>
    <w:rsid w:val="684869E5"/>
    <w:rsid w:val="68515EEE"/>
    <w:rsid w:val="69147A61"/>
    <w:rsid w:val="69223256"/>
    <w:rsid w:val="69926A05"/>
    <w:rsid w:val="69A52B04"/>
    <w:rsid w:val="69E71F70"/>
    <w:rsid w:val="69E72097"/>
    <w:rsid w:val="6A08161B"/>
    <w:rsid w:val="6A3D594D"/>
    <w:rsid w:val="6A470981"/>
    <w:rsid w:val="6A527363"/>
    <w:rsid w:val="6A630A19"/>
    <w:rsid w:val="6A743AFF"/>
    <w:rsid w:val="6AF83014"/>
    <w:rsid w:val="6B0D181C"/>
    <w:rsid w:val="6B9320D0"/>
    <w:rsid w:val="6BDA1C3F"/>
    <w:rsid w:val="6C0703C8"/>
    <w:rsid w:val="6C500C62"/>
    <w:rsid w:val="6C9A123C"/>
    <w:rsid w:val="6D041FE3"/>
    <w:rsid w:val="6D5F5BAF"/>
    <w:rsid w:val="6D7861FE"/>
    <w:rsid w:val="6D9C0CBA"/>
    <w:rsid w:val="6E002B1B"/>
    <w:rsid w:val="6E2B2468"/>
    <w:rsid w:val="6E2D0FE4"/>
    <w:rsid w:val="6E4A58C8"/>
    <w:rsid w:val="6E5A6A6D"/>
    <w:rsid w:val="6E5F3CA8"/>
    <w:rsid w:val="6E9F6A9E"/>
    <w:rsid w:val="6EA148D7"/>
    <w:rsid w:val="6F77E314"/>
    <w:rsid w:val="6FE27182"/>
    <w:rsid w:val="702B71E2"/>
    <w:rsid w:val="703F45D4"/>
    <w:rsid w:val="704240C4"/>
    <w:rsid w:val="704C76E9"/>
    <w:rsid w:val="70862203"/>
    <w:rsid w:val="70960D72"/>
    <w:rsid w:val="709B0AFE"/>
    <w:rsid w:val="70B86252"/>
    <w:rsid w:val="70D1659F"/>
    <w:rsid w:val="710541F0"/>
    <w:rsid w:val="71327C95"/>
    <w:rsid w:val="713F23B2"/>
    <w:rsid w:val="714F52AF"/>
    <w:rsid w:val="7152067A"/>
    <w:rsid w:val="715829E0"/>
    <w:rsid w:val="715E6CDC"/>
    <w:rsid w:val="716167CC"/>
    <w:rsid w:val="71701A97"/>
    <w:rsid w:val="71FB7305"/>
    <w:rsid w:val="72146BC2"/>
    <w:rsid w:val="72163F2B"/>
    <w:rsid w:val="72182671"/>
    <w:rsid w:val="72192F52"/>
    <w:rsid w:val="72222B02"/>
    <w:rsid w:val="7236760A"/>
    <w:rsid w:val="72592D76"/>
    <w:rsid w:val="72617B90"/>
    <w:rsid w:val="731C0BFD"/>
    <w:rsid w:val="732E6B82"/>
    <w:rsid w:val="734750AB"/>
    <w:rsid w:val="73593B14"/>
    <w:rsid w:val="735A34D3"/>
    <w:rsid w:val="737F6ED8"/>
    <w:rsid w:val="73852C46"/>
    <w:rsid w:val="73A914CF"/>
    <w:rsid w:val="73D95384"/>
    <w:rsid w:val="74251D33"/>
    <w:rsid w:val="743B2F14"/>
    <w:rsid w:val="743E4BA3"/>
    <w:rsid w:val="745B3729"/>
    <w:rsid w:val="750E645D"/>
    <w:rsid w:val="75143E7A"/>
    <w:rsid w:val="75360B18"/>
    <w:rsid w:val="754602FA"/>
    <w:rsid w:val="75547EA1"/>
    <w:rsid w:val="75C002A4"/>
    <w:rsid w:val="75F71D9D"/>
    <w:rsid w:val="76C513CA"/>
    <w:rsid w:val="76DC5C43"/>
    <w:rsid w:val="76F96161"/>
    <w:rsid w:val="77251F4E"/>
    <w:rsid w:val="7746449A"/>
    <w:rsid w:val="77F74411"/>
    <w:rsid w:val="78175E36"/>
    <w:rsid w:val="783F09AA"/>
    <w:rsid w:val="784C1F84"/>
    <w:rsid w:val="78897A79"/>
    <w:rsid w:val="78966DD7"/>
    <w:rsid w:val="789B25C4"/>
    <w:rsid w:val="78A4536A"/>
    <w:rsid w:val="78C03A59"/>
    <w:rsid w:val="78C55892"/>
    <w:rsid w:val="78CA10FB"/>
    <w:rsid w:val="793D367B"/>
    <w:rsid w:val="79A100AE"/>
    <w:rsid w:val="79B46E76"/>
    <w:rsid w:val="79ED7C62"/>
    <w:rsid w:val="79FD28AD"/>
    <w:rsid w:val="7A164796"/>
    <w:rsid w:val="7A170195"/>
    <w:rsid w:val="7A3172A6"/>
    <w:rsid w:val="7A570FD3"/>
    <w:rsid w:val="7A784C1B"/>
    <w:rsid w:val="7A85352B"/>
    <w:rsid w:val="7AAE2159"/>
    <w:rsid w:val="7B4F58E7"/>
    <w:rsid w:val="7BC914D9"/>
    <w:rsid w:val="7BCD518A"/>
    <w:rsid w:val="7BFB56F3"/>
    <w:rsid w:val="7C3C0AA2"/>
    <w:rsid w:val="7C6904B0"/>
    <w:rsid w:val="7CB50753"/>
    <w:rsid w:val="7CC55B0B"/>
    <w:rsid w:val="7E3B32BD"/>
    <w:rsid w:val="7E4B55D1"/>
    <w:rsid w:val="7F0B3347"/>
    <w:rsid w:val="7F8C710A"/>
    <w:rsid w:val="7F983D01"/>
    <w:rsid w:val="7FC82B1D"/>
    <w:rsid w:val="7FC93EBA"/>
    <w:rsid w:val="7FCB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val="0"/>
      <w:jc w:val="both"/>
    </w:pPr>
    <w:rPr>
      <w:rFonts w:ascii="Calibri" w:hAnsi="Calibri" w:eastAsia="仿宋_GB2312" w:cs="Times New Roman"/>
      <w:kern w:val="2"/>
      <w:sz w:val="32"/>
      <w:szCs w:val="32"/>
      <w:lang w:val="en-US" w:eastAsia="zh-CN" w:bidi="ar-SA"/>
    </w:rPr>
  </w:style>
  <w:style w:type="paragraph" w:styleId="7">
    <w:name w:val="Normal (Web)"/>
    <w:qFormat/>
    <w:uiPriority w:val="0"/>
    <w:pPr>
      <w:widowControl/>
      <w:jc w:val="left"/>
    </w:pPr>
    <w:rPr>
      <w:rFonts w:ascii="宋体" w:hAnsi="宋体" w:eastAsia="宋体" w:cs="宋体"/>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公1"/>
    <w:basedOn w:val="13"/>
    <w:next w:val="14"/>
    <w:qFormat/>
    <w:uiPriority w:val="0"/>
    <w:pPr>
      <w:ind w:firstLine="200" w:firstLineChars="200"/>
    </w:pPr>
  </w:style>
  <w:style w:type="paragraph" w:customStyle="1" w:styleId="13">
    <w:name w:val="正文 New New New New New"/>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customStyle="1" w:styleId="15">
    <w:name w:val="样式 左 行距: 最小值 28 磅"/>
    <w:basedOn w:val="1"/>
    <w:qFormat/>
    <w:uiPriority w:val="0"/>
    <w:pPr>
      <w:shd w:val="clear" w:color="auto" w:fill="FFFFFF"/>
      <w:spacing w:line="360" w:lineRule="atLeast"/>
      <w:jc w:val="left"/>
    </w:pPr>
    <w:rPr>
      <w:sz w:val="32"/>
      <w:szCs w:val="32"/>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80cc539c-9071-4c17-bb15-775db621c5fd</errorID>
      <errorWord>周</errorWord>
      <group>L1_Word</group>
      <groupName>字词问题</groupName>
      <ability>L2_Typo</ability>
      <abilityName>字词错误</abilityName>
      <candidateList>
        <item>周末</item>
      </candidateList>
      <explain>〈名〉一星期的最后的时间，原指星期六，实行双休日后也指星期五。</explain>
      <paraID>6B170C3E</paraID>
      <start>28</start>
      <end>29</end>
      <status>ignored</status>
      <modifiedWord/>
      <trackRevisions>false</trackRevisions>
    </reviewItem>
    <reviewItem>
      <errorID>9ada146a-9b81-4745-907f-2f2c46130790</errorID>
      <errorWord>(</errorWord>
      <group>L1_Format</group>
      <groupName>格式问题</groupName>
      <ability>L2_HalfPunc</ability>
      <abilityName>全半角检查</abilityName>
      <candidateList>
        <item>（</item>
      </candidateList>
      <explain>文本全半角错误。</explain>
      <paraID>2D4AECEB</paraID>
      <start>117</start>
      <end>118</end>
      <status>modified</status>
      <modifiedWord>（</modifiedWord>
      <trackRevisions>false</trackRevisions>
    </reviewItem>
    <reviewItem>
      <errorID>bb2599e6-32b0-41ca-9eb2-dbd8dab35040</errorID>
      <errorWord>)</errorWord>
      <group>L1_Format</group>
      <groupName>格式问题</groupName>
      <ability>L2_HalfPunc</ability>
      <abilityName>全半角检查</abilityName>
      <candidateList>
        <item>）</item>
      </candidateList>
      <explain>文本全半角错误。</explain>
      <paraID>2D4AECEB</paraID>
      <start>132</start>
      <end>133</end>
      <status>modified</status>
      <modifiedWord>）</modifiedWord>
      <trackRevisions>false</trackRevisions>
    </reviewItem>
    <reviewItem>
      <errorID>9f1e7a6d-2ee1-4908-9bc7-d2b0e8692add</errorID>
      <errorWord>)</errorWord>
      <group>L1_Format</group>
      <groupName>格式问题</groupName>
      <ability>L2_HalfPunc</ability>
      <abilityName>全半角检查</abilityName>
      <candidateList>
        <item>）</item>
      </candidateList>
      <explain>文本全半角错误。</explain>
      <paraID>206ACF46</paraID>
      <start>64</start>
      <end>65</end>
      <status>modified</status>
      <modifiedWord>）</modifiedWord>
      <trackRevisions>false</trackRevisions>
    </reviewItem>
    <reviewItem>
      <errorID>aacf8b91-c9a3-4f81-a944-2d2f9a374c46</errorID>
      <errorWord>)</errorWord>
      <group>L1_Format</group>
      <groupName>格式问题</groupName>
      <ability>L2_HalfPunc</ability>
      <abilityName>全半角检查</abilityName>
      <candidateList>
        <item>）</item>
      </candidateList>
      <explain>文本全半角错误。</explain>
      <paraID>476E4F98</paraID>
      <start>28</start>
      <end>29</end>
      <status>modified</status>
      <modifiedWord>）</modifiedWord>
      <trackRevisions>false</trackRevisions>
    </reviewItem>
    <reviewItem>
      <errorID>991e96c2-147d-4ccd-9712-0b39bfd3e73d</errorID>
      <errorWord>)</errorWord>
      <group>L1_Format</group>
      <groupName>格式问题</groupName>
      <ability>L2_HalfPunc</ability>
      <abilityName>全半角检查</abilityName>
      <candidateList>
        <item>）</item>
      </candidateList>
      <explain>文本全半角错误。</explain>
      <paraID>42A7531B</paraID>
      <start>72</start>
      <end>73</end>
      <status>modified</status>
      <modifiedWord>）</modifiedWord>
      <trackRevisions>false</trackRevisions>
    </reviewItem>
    <reviewItem>
      <errorID>b8046608-1c39-4309-9bfc-43f9fdb9ff0a</errorID>
      <errorWord>)</errorWord>
      <group>L1_Format</group>
      <groupName>格式问题</groupName>
      <ability>L2_HalfPunc</ability>
      <abilityName>全半角检查</abilityName>
      <candidateList>
        <item>）</item>
      </candidateList>
      <explain>文本全半角错误。</explain>
      <paraID>42A7531B</paraID>
      <start>97</start>
      <end>98</end>
      <status>modified</status>
      <modifiedWord>）</modifiedWord>
      <trackRevisions>false</trackRevisions>
    </reviewItem>
    <reviewItem>
      <errorID>1881faf4-5932-44f8-8af5-fc9b4e4477c9</errorID>
      <errorWord>)</errorWord>
      <group>L1_Format</group>
      <groupName>格式问题</groupName>
      <ability>L2_HalfPunc</ability>
      <abilityName>全半角检查</abilityName>
      <candidateList>
        <item>）</item>
      </candidateList>
      <explain>文本全半角错误。</explain>
      <paraID>42A7531B</paraID>
      <start>120</start>
      <end>121</end>
      <status>modified</status>
      <modifiedWord>）</modifiedWord>
      <trackRevisions>false</trackRevisions>
    </reviewItem>
    <reviewItem>
      <errorID>3681f9cd-8ca7-4dec-910b-fcf777cbd789</errorID>
      <errorWord>)</errorWord>
      <group>L1_Format</group>
      <groupName>格式问题</groupName>
      <ability>L2_HalfPunc</ability>
      <abilityName>全半角检查</abilityName>
      <candidateList>
        <item>）</item>
      </candidateList>
      <explain>文本全半角错误。</explain>
      <paraID>42A7531B</paraID>
      <start>142</start>
      <end>143</end>
      <status>modified</status>
      <modifiedWord>）</modifiedWord>
      <trackRevisions>false</trackRevisions>
    </reviewItem>
    <reviewItem>
      <errorID>1f17dcec-42fe-4512-a6ac-9a55f9cf1b48</errorID>
      <errorWord>)</errorWord>
      <group>L1_Format</group>
      <groupName>格式问题</groupName>
      <ability>L2_HalfPunc</ability>
      <abilityName>全半角检查</abilityName>
      <candidateList>
        <item>）</item>
      </candidateList>
      <explain>文本全半角错误。</explain>
      <paraID>3C5EBF80</paraID>
      <start>47</start>
      <end>48</end>
      <status>modified</status>
      <modifiedWord>）</modifiedWord>
      <trackRevisions>false</trackRevisions>
    </reviewItem>
    <reviewItem>
      <errorID>e95f1384-b29f-4b57-a7b1-818d0cfddd2f</errorID>
      <errorWord>)</errorWord>
      <group>L1_Format</group>
      <groupName>格式问题</groupName>
      <ability>L2_HalfPunc</ability>
      <abilityName>全半角检查</abilityName>
      <candidateList>
        <item>）</item>
      </candidateList>
      <explain>文本全半角错误。</explain>
      <paraID>3C5EBF80</paraID>
      <start>161</start>
      <end>162</end>
      <status>modified</status>
      <modifiedWord>）</modifiedWord>
      <trackRevisions>false</trackRevisions>
    </reviewItem>
    <reviewItem>
      <errorID>6795fff3-386f-4f51-86d1-15caf225d85b</errorID>
      <errorWord>)</errorWord>
      <group>L1_Format</group>
      <groupName>格式问题</groupName>
      <ability>L2_HalfPunc</ability>
      <abilityName>全半角检查</abilityName>
      <candidateList>
        <item>）</item>
      </candidateList>
      <explain>文本全半角错误。</explain>
      <paraID>688EDE40</paraID>
      <start>135</start>
      <end>136</end>
      <status>modified</status>
      <modifiedWord>）</modifiedWord>
      <trackRevisions>false</trackRevisions>
    </reviewItem>
    <reviewItem>
      <errorID>be1efaea-436d-4937-aa18-e4f65dbea587</errorID>
      <errorWord>做出</errorWord>
      <group>L1_Word</group>
      <groupName>字词问题</groupName>
      <ability>L2_Typo</ability>
      <abilityName>字词错误</abilityName>
      <candidateList>
        <item>作出</item>
      </candidateList>
      <explain/>
      <paraID>7012D80D</paraID>
      <start>37</start>
      <end>39</end>
      <status>modified</status>
      <modifiedWord>作出</modifiedWord>
      <trackRevisions>false</trackRevisions>
    </reviewItem>
    <reviewItem>
      <errorID>ce41f723-85e9-4089-a930-90da64634bba</errorID>
      <errorWord>做出</errorWord>
      <group>L1_Word</group>
      <groupName>字词问题</groupName>
      <ability>L2_Typo</ability>
      <abilityName>字词错误</abilityName>
      <candidateList>
        <item>作出</item>
      </candidateList>
      <explain/>
      <paraID>204361C9</paraID>
      <start>43</start>
      <end>45</end>
      <status>modified</status>
      <modifiedWord>作出</modifiedWord>
      <trackRevisions>false</trackRevisions>
    </reviewItem>
    <reviewItem>
      <errorID>19170278-900b-408d-801a-4879f7b7ab79</errorID>
      <errorWord>和</errorWord>
      <group>L1_Grammar</group>
      <groupName>语法问题</groupName>
      <ability>L2_Missing</ability>
      <abilityName>成分残缺</abilityName>
      <candidateList>
        <item>审查和</item>
      </candidateList>
      <explain>句子中可能存在主谓宾、修饰语或者必要的词语残缺。</explain>
      <paraID>524F5EB7</paraID>
      <start>9</start>
      <end>10</end>
      <status>ignored</status>
      <modifiedWord/>
      <trackRevisions>false</trackRevisions>
    </reviewItem>
    <reviewItem>
      <errorID>994f65e3-21fb-4fe8-820e-78de9ad2e598</errorID>
      <errorWord>发送到</errorWord>
      <group>L1_Word</group>
      <groupName>字词问题</groupName>
      <ability>L2_Typo</ability>
      <abilityName>字词错误</abilityName>
      <candidateList>
        <item>发送至</item>
      </candidateList>
      <explain>存在字形相近字词的误用。</explain>
      <paraID>265BC191</paraID>
      <start>101</start>
      <end>104</end>
      <status>ignored</status>
      <modifiedWord/>
      <trackRevisions>false</trackRevisions>
    </reviewItem>
    <reviewItem>
      <errorID>f1e7e7e0-41b2-4937-9aac-ae5e1cb21eee</errorID>
      <errorWord>(</errorWord>
      <group>L1_Format</group>
      <groupName>格式问题</groupName>
      <ability>L2_HalfPunc</ability>
      <abilityName>全半角检查</abilityName>
      <candidateList>
        <item>（</item>
      </candidateList>
      <explain>文本全半角错误。</explain>
      <paraID>79F77CE4</paraID>
      <start>141</start>
      <end>142</end>
      <status>modified</status>
      <modifiedWord>（</modifiedWord>
      <trackRevisions>false</trackRevisions>
    </reviewItem>
    <reviewItem>
      <errorID>14aced3e-38e9-45e0-a98d-87f6b0102353</errorID>
      <errorWord>)</errorWord>
      <group>L1_Format</group>
      <groupName>格式问题</groupName>
      <ability>L2_HalfPunc</ability>
      <abilityName>全半角检查</abilityName>
      <candidateList>
        <item>）</item>
      </candidateList>
      <explain>文本全半角错误。</explain>
      <paraID>79F77CE4</paraID>
      <start>163</start>
      <end>164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280ce-d720-4344-8c44-cab2445f7bd0}">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1261</Words>
  <Characters>1287</Characters>
  <Lines>0</Lines>
  <Paragraphs>0</Paragraphs>
  <TotalTime>14</TotalTime>
  <ScaleCrop>false</ScaleCrop>
  <LinksUpToDate>false</LinksUpToDate>
  <CharactersWithSpaces>1300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2025-11-12T19:41:00Z</dcterms:created>
  <dc:creator>54481</dc:creator>
  <cp:lastModifiedBy>。</cp:lastModifiedBy>
  <cp:lastPrinted>2026-02-10T02:42:00Z</cp:lastPrinted>
  <dcterms:modified xsi:type="dcterms:W3CDTF">2026-02-11T03:06:01Z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eyJoZGlkIjoiNTE3ZjVjOTViMGNlNWIzNDk5ZGI3NjBhMWIyMWRkYjUiLCJ1c2VySWQiOiIzOTgxNTczMDEifQ==</vt:lpwstr>
  </property>
  <property fmtid="{D5CDD505-2E9C-101B-9397-08002B2CF9AE}" pid="4" name="ICV">
    <vt:lpwstr>C67370C901764F43A18CB2C5A6B57B66_13</vt:lpwstr>
  </property>
</Properties>
</file>