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贵州省</w:t>
      </w:r>
      <w:r>
        <w:rPr>
          <w:rFonts w:hint="default" w:ascii="Times New Roman" w:hAnsi="Times New Roman" w:eastAsia="方正小标宋简体" w:cs="Times New Roman"/>
          <w:color w:val="auto"/>
          <w:sz w:val="44"/>
          <w:szCs w:val="44"/>
          <w:lang w:eastAsia="zh-CN"/>
        </w:rPr>
        <w:t>构建优质均衡的基本公共教育</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服务体系实施方案</w:t>
      </w:r>
    </w:p>
    <w:p>
      <w:pPr>
        <w:pStyle w:val="6"/>
        <w:keepNext w:val="0"/>
        <w:keepLines w:val="0"/>
        <w:pageBreakBefore w:val="0"/>
        <w:kinsoku/>
        <w:wordWrap/>
        <w:overflowPunct/>
        <w:topLinePunct w:val="0"/>
        <w:autoSpaceDE/>
        <w:autoSpaceDN/>
        <w:bidi w:val="0"/>
        <w:adjustRightInd/>
        <w:snapToGrid/>
        <w:spacing w:before="0" w:beforeLines="0" w:after="0" w:afterLines="0" w:line="560" w:lineRule="exact"/>
        <w:jc w:val="center"/>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（征求意见稿）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仿宋" w:hAnsi="仿宋" w:eastAsia="仿宋" w:cs="仿宋"/>
          <w:i w:val="0"/>
          <w:iCs w:val="0"/>
          <w:caps w:val="0"/>
          <w:color w:val="auto"/>
          <w:spacing w:val="0"/>
          <w:kern w:val="0"/>
          <w:sz w:val="32"/>
          <w:szCs w:val="32"/>
          <w:shd w:val="clear" w:color="auto" w:fill="FFFFFF"/>
          <w:lang w:val="en-US" w:eastAsia="zh-CN" w:bidi="ar"/>
        </w:rPr>
        <w:t>为深入贯彻落实党的二十大和二十届三中全会精神，贯彻落实中共中央办公厅 国务院办公厅印发《关于构建优质均衡的基本公共教育服务体系的意见》精神，结合我省实际，制定本实施方案。</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一、总体</w:t>
      </w:r>
      <w:r>
        <w:rPr>
          <w:rFonts w:hint="eastAsia" w:ascii="Times New Roman" w:hAnsi="Times New Roman" w:eastAsia="黑体" w:cs="Times New Roman"/>
          <w:i w:val="0"/>
          <w:caps w:val="0"/>
          <w:color w:val="auto"/>
          <w:spacing w:val="0"/>
          <w:kern w:val="0"/>
          <w:sz w:val="32"/>
          <w:szCs w:val="32"/>
          <w:shd w:val="clear" w:color="auto" w:fill="FFFFFF"/>
          <w:lang w:val="en-US" w:eastAsia="zh-CN" w:bidi="ar"/>
        </w:rPr>
        <w:t>要求</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以习近平新时代中国特色社会主义思想为指导，认真贯彻习近平总书记关于教育的重要论述和视察贵州重要讲话精神以及对贵州工作的重要指示批示精神</w:t>
      </w:r>
      <w:bookmarkStart w:id="0" w:name="_GoBack"/>
      <w:bookmarkEnd w:id="0"/>
      <w:r>
        <w:rPr>
          <w:rFonts w:hint="eastAsia" w:ascii="仿宋" w:hAnsi="仿宋" w:eastAsia="仿宋" w:cs="仿宋"/>
          <w:i w:val="0"/>
          <w:iCs w:val="0"/>
          <w:caps w:val="0"/>
          <w:color w:val="auto"/>
          <w:spacing w:val="0"/>
          <w:kern w:val="0"/>
          <w:sz w:val="32"/>
          <w:szCs w:val="32"/>
          <w:shd w:val="clear" w:color="auto" w:fill="FFFFFF"/>
          <w:lang w:val="en-US" w:eastAsia="zh-CN" w:bidi="ar"/>
        </w:rPr>
        <w:t>，加快建设教育强省，推进教育高质量发展。优化区域教育资源配置，建立同人口变化相协调的基本公共教育服务供给机制，持续缩小区域、城乡、校际、群体基本公共教育服务水平差距，不断提升教育公共服务的普惠性、可及性、便捷性。到2027年初步建立优质均衡的基本公共教育服务体系，到2035年基本实现适龄学生享有更加公平优质的基本公共教育服务，力争全部县（市、区）实现县域义务教育优质均衡发展，市（州）域义务教育均衡发展水平显著提升。</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二、重点任务</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val="0"/>
          <w:color w:val="auto"/>
          <w:sz w:val="32"/>
          <w:szCs w:val="32"/>
          <w:lang w:eastAsia="zh-CN"/>
        </w:rPr>
      </w:pPr>
      <w:r>
        <w:rPr>
          <w:rFonts w:hint="default" w:ascii="Times New Roman" w:hAnsi="Times New Roman" w:eastAsia="楷体" w:cs="Times New Roman"/>
          <w:b w:val="0"/>
          <w:bCs w:val="0"/>
          <w:color w:val="auto"/>
          <w:sz w:val="32"/>
          <w:szCs w:val="32"/>
          <w:lang w:eastAsia="zh-CN"/>
        </w:rPr>
        <w:t>（一）</w:t>
      </w:r>
      <w:r>
        <w:rPr>
          <w:rFonts w:hint="eastAsia" w:ascii="Times New Roman" w:hAnsi="Times New Roman" w:eastAsia="楷体" w:cs="Times New Roman"/>
          <w:b w:val="0"/>
          <w:bCs w:val="0"/>
          <w:color w:val="auto"/>
          <w:sz w:val="32"/>
          <w:szCs w:val="32"/>
          <w:lang w:eastAsia="zh-CN"/>
        </w:rPr>
        <w:t>全面优化教育资源供给</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cs="仿宋_GB2312"/>
          <w:b/>
          <w:bCs/>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1.实施城乡学校布局规划调整。</w:t>
      </w:r>
      <w:r>
        <w:rPr>
          <w:rFonts w:hint="eastAsia" w:ascii="仿宋" w:hAnsi="仿宋" w:eastAsia="仿宋" w:cs="仿宋"/>
          <w:i w:val="0"/>
          <w:iCs w:val="0"/>
          <w:caps w:val="0"/>
          <w:color w:val="auto"/>
          <w:spacing w:val="0"/>
          <w:kern w:val="0"/>
          <w:sz w:val="32"/>
          <w:szCs w:val="32"/>
          <w:shd w:val="clear" w:color="auto" w:fill="FFFFFF"/>
          <w:lang w:val="en-US" w:eastAsia="zh-CN" w:bidi="ar"/>
        </w:rPr>
        <w:t>省级制定城镇义务教育学位配置标准。市（州）、县（市、区）优化教育资源配置，建立同人口变化相协调的基本公共教育服务供给机制。教育用地应保尽保，落实新建住宅小区配建学校有关规定，加快城镇学校扩容增位。实施县域基础教育学校布局优化与质量提升改革试点。推进乡镇标准化寄宿制学校建设。科学整合小、散、弱乡村小规模学校，办好确需保留的乡村学校。加强市（州）和县（市、区）政府驻地普通高中新建和扩容，因地制宜扩大学位供给和招生规模。持续优化学生上学路径和校园周边交通环境治理。</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（责任单位：省教育厅、省自然资源厅、省住房城乡建设厅、省公安厅、省交通运输厅，各市〔州〕人民政府。以下措施责任单位均包括各市〔州〕人民政府，不再列出）</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2.实施学校标准化建设工程。</w:t>
      </w:r>
      <w:r>
        <w:rPr>
          <w:rFonts w:hint="eastAsia" w:ascii="仿宋" w:hAnsi="仿宋" w:eastAsia="仿宋" w:cs="仿宋"/>
          <w:i w:val="0"/>
          <w:iCs w:val="0"/>
          <w:caps w:val="0"/>
          <w:color w:val="auto"/>
          <w:spacing w:val="0"/>
          <w:kern w:val="0"/>
          <w:sz w:val="32"/>
          <w:szCs w:val="32"/>
          <w:shd w:val="clear" w:color="auto" w:fill="FFFFFF"/>
          <w:lang w:val="en-US" w:eastAsia="zh-CN" w:bidi="ar"/>
        </w:rPr>
        <w:t>完善义务教育学校办学标准，大力实施义务教育薄弱环节改善与能力提升、教育强国基础设施建设工程等项目，推动义务教育学校校舍建设、安全防范设施、教学仪器装备、图书、数字化基础环境等达到规定标准。加强教学及辅助用房、生活用房、活动和运动场地等建设，配齐饮水、洗浴、排污等设施设备。</w:t>
      </w:r>
      <w:r>
        <w:rPr>
          <w:rFonts w:hint="eastAsia" w:ascii="仿宋" w:hAnsi="仿宋" w:eastAsia="仿宋" w:cs="仿宋"/>
          <w:i w:val="0"/>
          <w:iCs w:val="0"/>
          <w:caps w:val="0"/>
          <w:color w:val="auto"/>
          <w:spacing w:val="0"/>
          <w:sz w:val="32"/>
          <w:szCs w:val="32"/>
          <w:shd w:val="clear" w:color="auto" w:fill="FFFFFF"/>
          <w:lang w:val="en-US" w:eastAsia="zh-CN"/>
        </w:rPr>
        <w:t>推进县中标准化建设，提升县中办学承载能力。攻坚义务教育学校“校校合格”，促进学校教育教学管理等达到基本要求。</w:t>
      </w:r>
      <w:r>
        <w:rPr>
          <w:rFonts w:hint="eastAsia" w:ascii="仿宋" w:hAnsi="仿宋" w:eastAsia="仿宋" w:cs="仿宋"/>
          <w:i w:val="0"/>
          <w:iCs w:val="0"/>
          <w:caps w:val="0"/>
          <w:color w:val="auto"/>
          <w:spacing w:val="0"/>
          <w:kern w:val="0"/>
          <w:sz w:val="32"/>
          <w:szCs w:val="32"/>
          <w:shd w:val="clear" w:color="auto" w:fill="FFFFFF"/>
          <w:lang w:val="en-US" w:eastAsia="zh-CN" w:bidi="ar"/>
        </w:rPr>
        <w:t>深入实施幼儿园“园园达标”工程，全面改善办园条件。有条件的地区可探索通过政府购买服务方式为学校提供安保、宿管、卫生健康等方面服务。持续加强全省中小学食堂自办自管。鼓励学校为非寄宿制学校提供学生就餐和午休条件。</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（责任单位：省教育厅、省发展改革委）</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3.实施教育数字化战略行动。</w:t>
      </w:r>
      <w:r>
        <w:rPr>
          <w:rFonts w:hint="eastAsia" w:ascii="仿宋" w:hAnsi="仿宋" w:eastAsia="仿宋" w:cs="仿宋"/>
          <w:i w:val="0"/>
          <w:iCs w:val="0"/>
          <w:caps w:val="0"/>
          <w:color w:val="auto"/>
          <w:spacing w:val="0"/>
          <w:kern w:val="0"/>
          <w:sz w:val="32"/>
          <w:szCs w:val="32"/>
          <w:shd w:val="clear" w:color="auto" w:fill="FFFFFF"/>
          <w:lang w:val="en-US" w:eastAsia="zh-CN" w:bidi="ar"/>
        </w:rPr>
        <w:t>巩固提升教育信息化“三通工程”建设成果，实现固定宽带网络万兆到县、千兆到校、百兆到班，中小学每班配备1套多媒体教学设备。鼓励有条件的地区建设智慧教室。按照《教师数字素养》标准，探索建立省、市、县、校四级培训体系，实施教师数字素养能力提升工程。用好“国家中小学智慧教育平台”和“贵州省教育资源公共服务平台”，开展全省教育数字化创新应用大赛，在全省建设一批教育数字化示范区、标杆校。发挥优质数字教育资源助力偏远乡村、易地搬迁安置点学校提高教育质量作用。用好全国基础教育管理服务平台，推动基础教育现代化管理。推进义务教育招生入学数字化，</w:t>
      </w:r>
      <w:r>
        <w:rPr>
          <w:rFonts w:hint="default" w:ascii="仿宋" w:hAnsi="仿宋" w:eastAsia="仿宋" w:cs="仿宋"/>
          <w:i w:val="0"/>
          <w:iCs w:val="0"/>
          <w:caps w:val="0"/>
          <w:color w:val="auto"/>
          <w:spacing w:val="0"/>
          <w:kern w:val="0"/>
          <w:sz w:val="32"/>
          <w:szCs w:val="32"/>
          <w:shd w:val="clear" w:color="auto" w:fill="FFFFFF"/>
          <w:lang w:val="en-US" w:eastAsia="zh-CN" w:bidi="ar"/>
        </w:rPr>
        <w:t>高效办成教育入学“一件事”</w:t>
      </w:r>
      <w:r>
        <w:rPr>
          <w:rFonts w:hint="eastAsia" w:ascii="仿宋" w:hAnsi="仿宋" w:eastAsia="仿宋" w:cs="仿宋"/>
          <w:i w:val="0"/>
          <w:iCs w:val="0"/>
          <w:caps w:val="0"/>
          <w:color w:val="auto"/>
          <w:spacing w:val="0"/>
          <w:kern w:val="0"/>
          <w:sz w:val="32"/>
          <w:szCs w:val="32"/>
          <w:shd w:val="clear" w:color="auto" w:fill="FFFFFF"/>
          <w:lang w:val="en-US" w:eastAsia="zh-CN" w:bidi="ar"/>
        </w:rPr>
        <w:t>。</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（责任单位：省教育厅、省通信管理局、省大数据局、省政务服务中心）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（二）</w:t>
      </w:r>
      <w:r>
        <w:rPr>
          <w:rFonts w:hint="eastAsia" w:ascii="Times New Roman" w:hAnsi="Times New Roman" w:eastAsia="楷体" w:cs="Times New Roman"/>
          <w:b w:val="0"/>
          <w:bCs w:val="0"/>
          <w:color w:val="auto"/>
          <w:sz w:val="32"/>
          <w:szCs w:val="32"/>
          <w:lang w:eastAsia="zh-CN"/>
        </w:rPr>
        <w:t>全面</w:t>
      </w:r>
      <w:r>
        <w:rPr>
          <w:rFonts w:hint="eastAsia" w:ascii="Times New Roman" w:hAnsi="Times New Roman" w:eastAsia="楷体" w:cs="Times New Roman"/>
          <w:b w:val="0"/>
          <w:bCs w:val="0"/>
          <w:color w:val="auto"/>
          <w:sz w:val="32"/>
          <w:szCs w:val="32"/>
          <w:lang w:val="en-US" w:eastAsia="zh-CN"/>
        </w:rPr>
        <w:t>提升基础教育质量</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4.推进学前教育普及普惠发展。</w:t>
      </w:r>
      <w:r>
        <w:rPr>
          <w:rFonts w:hint="eastAsia" w:ascii="仿宋" w:hAnsi="仿宋" w:eastAsia="仿宋" w:cs="仿宋"/>
          <w:i w:val="0"/>
          <w:iCs w:val="0"/>
          <w:caps w:val="0"/>
          <w:color w:val="auto"/>
          <w:spacing w:val="0"/>
          <w:kern w:val="0"/>
          <w:sz w:val="32"/>
          <w:szCs w:val="32"/>
          <w:shd w:val="clear" w:color="auto" w:fill="FFFFFF"/>
          <w:lang w:val="en-US" w:eastAsia="zh-CN" w:bidi="ar"/>
        </w:rPr>
        <w:t>强力推进学前教育普及普惠县创建，健全学前教育保障机制，整体提升县域学前教育普及普惠水平。</w:t>
      </w:r>
      <w:r>
        <w:rPr>
          <w:rFonts w:hint="eastAsia" w:ascii="仿宋" w:hAnsi="仿宋" w:eastAsia="仿宋" w:cs="仿宋"/>
          <w:b w:val="0"/>
          <w:i w:val="0"/>
          <w:iCs w:val="0"/>
          <w:caps w:val="0"/>
          <w:color w:val="auto"/>
          <w:spacing w:val="0"/>
          <w:kern w:val="0"/>
          <w:sz w:val="32"/>
          <w:szCs w:val="32"/>
          <w:shd w:val="clear" w:color="auto" w:fill="FFFFFF"/>
          <w:lang w:val="en-US" w:eastAsia="zh-CN" w:bidi="ar"/>
        </w:rPr>
        <w:t>夯实集团化办园管理、教研指导责任区、农村幼儿园集团化管理资源中心“三个全覆盖”的学前教育内涵发展机制，促进学前教育高质量发展。</w:t>
      </w:r>
      <w:r>
        <w:rPr>
          <w:rFonts w:hint="eastAsia" w:ascii="仿宋" w:hAnsi="仿宋" w:eastAsia="仿宋" w:cs="仿宋"/>
          <w:i w:val="0"/>
          <w:iCs w:val="0"/>
          <w:caps w:val="0"/>
          <w:color w:val="auto"/>
          <w:spacing w:val="0"/>
          <w:kern w:val="0"/>
          <w:sz w:val="32"/>
          <w:szCs w:val="32"/>
          <w:shd w:val="clear" w:color="auto" w:fill="FFFFFF"/>
          <w:lang w:val="en-US" w:eastAsia="zh-CN" w:bidi="ar"/>
        </w:rPr>
        <w:t>持续推进示范园建设，扩大优质学前教育资源。幼儿园落实以游戏为基本活动，创设丰富的教育环境，提升师幼互动质量。坚持小学一年级“零起点”教学，持续推进小学和幼儿园双向衔接。</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 w:hAnsi="仿宋" w:eastAsia="仿宋" w:cs="仿宋"/>
          <w:b/>
          <w:bCs/>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5.推进义务教育优质均衡发展。</w:t>
      </w:r>
      <w:r>
        <w:rPr>
          <w:rFonts w:hint="eastAsia" w:ascii="仿宋" w:hAnsi="仿宋" w:eastAsia="仿宋" w:cs="仿宋"/>
          <w:i w:val="0"/>
          <w:iCs w:val="0"/>
          <w:caps w:val="0"/>
          <w:color w:val="auto"/>
          <w:spacing w:val="0"/>
          <w:sz w:val="32"/>
          <w:szCs w:val="32"/>
          <w:shd w:val="clear" w:color="auto" w:fill="FFFFFF"/>
          <w:lang w:eastAsia="zh-CN"/>
        </w:rPr>
        <w:t>省级制定县域</w:t>
      </w:r>
      <w:r>
        <w:rPr>
          <w:rFonts w:hint="eastAsia" w:ascii="仿宋" w:hAnsi="仿宋" w:eastAsia="仿宋" w:cs="仿宋"/>
          <w:i w:val="0"/>
          <w:iCs w:val="0"/>
          <w:caps w:val="0"/>
          <w:color w:val="auto"/>
          <w:spacing w:val="0"/>
          <w:sz w:val="32"/>
          <w:szCs w:val="32"/>
          <w:shd w:val="clear" w:color="auto" w:fill="FFFFFF"/>
          <w:lang w:val="en-US" w:eastAsia="zh-CN"/>
        </w:rPr>
        <w:t>义务教育优质均衡</w:t>
      </w:r>
      <w:r>
        <w:rPr>
          <w:rFonts w:hint="eastAsia" w:ascii="仿宋" w:hAnsi="仿宋" w:eastAsia="仿宋" w:cs="仿宋"/>
          <w:i w:val="0"/>
          <w:iCs w:val="0"/>
          <w:caps w:val="0"/>
          <w:color w:val="auto"/>
          <w:spacing w:val="0"/>
          <w:sz w:val="32"/>
          <w:szCs w:val="32"/>
          <w:shd w:val="clear" w:color="auto" w:fill="FFFFFF"/>
          <w:lang w:eastAsia="zh-CN"/>
        </w:rPr>
        <w:t>创建规划，</w:t>
      </w:r>
      <w:r>
        <w:rPr>
          <w:rFonts w:hint="eastAsia" w:ascii="仿宋" w:hAnsi="仿宋" w:eastAsia="仿宋" w:cs="仿宋"/>
          <w:i w:val="0"/>
          <w:iCs w:val="0"/>
          <w:caps w:val="0"/>
          <w:color w:val="auto"/>
          <w:spacing w:val="0"/>
          <w:sz w:val="32"/>
          <w:szCs w:val="32"/>
          <w:shd w:val="clear" w:color="auto" w:fill="FFFFFF"/>
          <w:lang w:val="en-US" w:eastAsia="zh-CN"/>
        </w:rPr>
        <w:t>支持具备条件的县（市、区）创建、申请义务教育优质均衡发展评估认定。</w:t>
      </w:r>
      <w:r>
        <w:rPr>
          <w:rFonts w:hint="eastAsia" w:ascii="仿宋" w:hAnsi="仿宋" w:eastAsia="仿宋" w:cs="仿宋"/>
          <w:i w:val="0"/>
          <w:iCs w:val="0"/>
          <w:caps w:val="0"/>
          <w:color w:val="auto"/>
          <w:spacing w:val="0"/>
          <w:sz w:val="32"/>
          <w:szCs w:val="32"/>
          <w:shd w:val="clear" w:color="auto" w:fill="FFFFFF"/>
          <w:lang w:eastAsia="zh-CN"/>
        </w:rPr>
        <w:t>分阶段遴选市（州）域义务教育均衡发展先行实验区。</w:t>
      </w:r>
      <w:r>
        <w:rPr>
          <w:rFonts w:hint="eastAsia" w:ascii="仿宋" w:hAnsi="仿宋" w:eastAsia="仿宋" w:cs="仿宋"/>
          <w:i w:val="0"/>
          <w:iCs w:val="0"/>
          <w:caps w:val="0"/>
          <w:color w:val="auto"/>
          <w:spacing w:val="0"/>
          <w:sz w:val="32"/>
          <w:szCs w:val="32"/>
          <w:shd w:val="clear" w:color="auto" w:fill="FFFFFF"/>
          <w:lang w:val="en-US" w:eastAsia="zh-CN"/>
        </w:rPr>
        <w:t>市（州）和县（市、区）政府要</w:t>
      </w:r>
      <w:r>
        <w:rPr>
          <w:rFonts w:hint="eastAsia" w:ascii="仿宋" w:hAnsi="仿宋" w:eastAsia="仿宋" w:cs="仿宋"/>
          <w:i w:val="0"/>
          <w:iCs w:val="0"/>
          <w:caps w:val="0"/>
          <w:color w:val="auto"/>
          <w:spacing w:val="0"/>
          <w:sz w:val="32"/>
          <w:szCs w:val="32"/>
          <w:shd w:val="clear" w:color="auto" w:fill="FFFFFF"/>
          <w:lang w:eastAsia="zh-CN"/>
        </w:rPr>
        <w:t>重点保障义务教育优质均衡发展投入，加大对义务教育重点领域、薄弱环节改善的支持力度。</w:t>
      </w:r>
      <w:r>
        <w:rPr>
          <w:rFonts w:hint="eastAsia" w:ascii="仿宋" w:hAnsi="仿宋" w:eastAsia="仿宋" w:cs="仿宋"/>
          <w:i w:val="0"/>
          <w:iCs w:val="0"/>
          <w:caps w:val="0"/>
          <w:color w:val="auto"/>
          <w:spacing w:val="0"/>
          <w:sz w:val="32"/>
          <w:szCs w:val="32"/>
          <w:shd w:val="clear" w:color="auto" w:fill="FFFFFF"/>
          <w:lang w:val="en-US" w:eastAsia="zh-CN"/>
        </w:rPr>
        <w:t>以“公办强校”计划为抓手培育一批</w:t>
      </w:r>
      <w:r>
        <w:rPr>
          <w:rFonts w:hint="eastAsia" w:ascii="仿宋" w:hAnsi="仿宋" w:eastAsia="仿宋" w:cs="仿宋"/>
          <w:i w:val="0"/>
          <w:iCs w:val="0"/>
          <w:caps w:val="0"/>
          <w:color w:val="auto"/>
          <w:spacing w:val="0"/>
          <w:sz w:val="32"/>
          <w:szCs w:val="32"/>
          <w:shd w:val="clear" w:color="auto" w:fill="FFFFFF"/>
          <w:lang w:eastAsia="zh-CN"/>
        </w:rPr>
        <w:t>老百姓</w:t>
      </w:r>
      <w:r>
        <w:rPr>
          <w:rFonts w:hint="eastAsia" w:ascii="仿宋" w:hAnsi="仿宋" w:eastAsia="仿宋" w:cs="仿宋"/>
          <w:i w:val="0"/>
          <w:iCs w:val="0"/>
          <w:caps w:val="0"/>
          <w:color w:val="auto"/>
          <w:spacing w:val="0"/>
          <w:sz w:val="32"/>
          <w:szCs w:val="32"/>
          <w:shd w:val="clear" w:color="auto" w:fill="FFFFFF"/>
          <w:lang w:val="en-US" w:eastAsia="zh-CN"/>
        </w:rPr>
        <w:t>“家门口”的新优质学校，并注重向乡镇学校、易地搬迁安置点学校倾斜。推进集团化办学和学区制管理改革，通过“优质学校+”及城乡</w:t>
      </w:r>
      <w:r>
        <w:rPr>
          <w:rFonts w:hint="eastAsia" w:ascii="仿宋" w:hAnsi="仿宋" w:eastAsia="仿宋" w:cs="仿宋"/>
          <w:b w:val="0"/>
          <w:i w:val="0"/>
          <w:iCs w:val="0"/>
          <w:caps w:val="0"/>
          <w:color w:val="auto"/>
          <w:spacing w:val="0"/>
          <w:kern w:val="0"/>
          <w:sz w:val="32"/>
          <w:szCs w:val="32"/>
          <w:shd w:val="clear" w:color="auto" w:fill="FFFFFF"/>
          <w:lang w:val="en-US" w:eastAsia="zh-CN" w:bidi="ar"/>
        </w:rPr>
        <w:t>学校结对帮扶等方式，加快集团内、学区内学校率先实现优质均衡。</w:t>
      </w:r>
      <w:r>
        <w:rPr>
          <w:rFonts w:hint="eastAsia" w:ascii="仿宋" w:hAnsi="仿宋" w:eastAsia="仿宋" w:cs="仿宋"/>
          <w:i w:val="0"/>
          <w:iCs w:val="0"/>
          <w:caps w:val="0"/>
          <w:color w:val="auto"/>
          <w:spacing w:val="0"/>
          <w:sz w:val="32"/>
          <w:szCs w:val="32"/>
          <w:shd w:val="clear" w:color="auto" w:fill="FFFFFF"/>
          <w:lang w:val="en-US" w:eastAsia="zh-CN"/>
        </w:rPr>
        <w:t>深化</w:t>
      </w:r>
      <w:r>
        <w:rPr>
          <w:rFonts w:hint="default" w:ascii="仿宋" w:hAnsi="仿宋" w:eastAsia="仿宋" w:cs="仿宋"/>
          <w:i w:val="0"/>
          <w:iCs w:val="0"/>
          <w:caps w:val="0"/>
          <w:color w:val="auto"/>
          <w:spacing w:val="0"/>
          <w:sz w:val="32"/>
          <w:szCs w:val="32"/>
          <w:shd w:val="clear" w:color="auto" w:fill="FFFFFF"/>
          <w:lang w:val="en-US" w:eastAsia="zh-CN"/>
        </w:rPr>
        <w:t>粤黔教育组团式帮扶，助力</w:t>
      </w:r>
      <w:r>
        <w:rPr>
          <w:rFonts w:hint="eastAsia" w:ascii="仿宋" w:hAnsi="仿宋" w:eastAsia="仿宋" w:cs="仿宋"/>
          <w:i w:val="0"/>
          <w:iCs w:val="0"/>
          <w:caps w:val="0"/>
          <w:color w:val="auto"/>
          <w:spacing w:val="0"/>
          <w:sz w:val="32"/>
          <w:szCs w:val="32"/>
          <w:shd w:val="clear" w:color="auto" w:fill="FFFFFF"/>
          <w:lang w:val="en-US" w:eastAsia="zh-CN"/>
        </w:rPr>
        <w:t>区域教育优质均衡发展</w:t>
      </w:r>
      <w:r>
        <w:rPr>
          <w:rFonts w:hint="default" w:ascii="仿宋" w:hAnsi="仿宋" w:eastAsia="仿宋" w:cs="仿宋"/>
          <w:i w:val="0"/>
          <w:iCs w:val="0"/>
          <w:caps w:val="0"/>
          <w:color w:val="auto"/>
          <w:spacing w:val="0"/>
          <w:sz w:val="32"/>
          <w:szCs w:val="32"/>
          <w:shd w:val="clear" w:color="auto" w:fill="FFFFFF"/>
          <w:lang w:val="en-US" w:eastAsia="zh-CN"/>
        </w:rPr>
        <w:t>。</w:t>
      </w:r>
      <w:r>
        <w:rPr>
          <w:rFonts w:hint="eastAsia" w:ascii="仿宋" w:hAnsi="仿宋" w:eastAsia="仿宋" w:cs="仿宋"/>
          <w:i w:val="0"/>
          <w:iCs w:val="0"/>
          <w:caps w:val="0"/>
          <w:color w:val="auto"/>
          <w:spacing w:val="0"/>
          <w:sz w:val="32"/>
          <w:szCs w:val="32"/>
          <w:shd w:val="clear" w:color="auto" w:fill="FFFFFF"/>
          <w:lang w:eastAsia="zh-CN"/>
        </w:rPr>
        <w:t>力争到2028年、</w:t>
      </w:r>
      <w:r>
        <w:rPr>
          <w:rFonts w:hint="eastAsia" w:ascii="仿宋" w:hAnsi="仿宋" w:eastAsia="仿宋" w:cs="仿宋"/>
          <w:i w:val="0"/>
          <w:iCs w:val="0"/>
          <w:caps w:val="0"/>
          <w:color w:val="auto"/>
          <w:spacing w:val="0"/>
          <w:sz w:val="32"/>
          <w:szCs w:val="32"/>
          <w:shd w:val="clear" w:color="auto" w:fill="FFFFFF"/>
          <w:lang w:val="en-US" w:eastAsia="zh-CN"/>
        </w:rPr>
        <w:t>2030年分别有</w:t>
      </w:r>
      <w:r>
        <w:rPr>
          <w:rFonts w:hint="eastAsia" w:ascii="仿宋" w:hAnsi="仿宋" w:eastAsia="仿宋" w:cs="仿宋"/>
          <w:i w:val="0"/>
          <w:iCs w:val="0"/>
          <w:caps w:val="0"/>
          <w:color w:val="auto"/>
          <w:spacing w:val="0"/>
          <w:sz w:val="32"/>
          <w:szCs w:val="32"/>
          <w:shd w:val="clear" w:color="auto" w:fill="FFFFFF"/>
          <w:lang w:eastAsia="zh-CN"/>
        </w:rPr>
        <w:t>20%、60%的县达到国家义务教育优质均衡督导评估标准，力争到2035年全省所有县（市、区）达到评估标准。</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6.推进“县中”质量提升。</w:t>
      </w:r>
      <w:r>
        <w:rPr>
          <w:rFonts w:hint="eastAsia" w:ascii="仿宋" w:hAnsi="仿宋" w:eastAsia="仿宋" w:cs="仿宋"/>
          <w:color w:val="auto"/>
          <w:sz w:val="32"/>
          <w:szCs w:val="32"/>
          <w:lang w:eastAsia="zh-CN"/>
        </w:rPr>
        <w:t>加强普通高中招生管理，落实“公民办同招”和属地招生政策，规范特殊类型学生招生，杜绝跨区域掐尖招生、争抢生源现象。深化“高考”综合改革，完善选课走班、综合素质评价</w:t>
      </w:r>
      <w:r>
        <w:rPr>
          <w:rFonts w:hint="eastAsia" w:ascii="仿宋" w:hAnsi="仿宋" w:eastAsia="仿宋" w:cs="仿宋"/>
          <w:color w:val="auto"/>
          <w:sz w:val="32"/>
          <w:szCs w:val="32"/>
        </w:rPr>
        <w:t>和学生生涯规划指导</w:t>
      </w:r>
      <w:r>
        <w:rPr>
          <w:rFonts w:hint="eastAsia" w:ascii="仿宋" w:hAnsi="仿宋" w:eastAsia="仿宋" w:cs="仿宋"/>
          <w:color w:val="auto"/>
          <w:sz w:val="32"/>
          <w:szCs w:val="32"/>
          <w:lang w:eastAsia="zh-CN"/>
        </w:rPr>
        <w:t>制度。探索举办综合高中。</w:t>
      </w:r>
      <w:r>
        <w:rPr>
          <w:rFonts w:hint="eastAsia" w:ascii="仿宋" w:hAnsi="仿宋" w:eastAsia="仿宋" w:cs="仿宋"/>
          <w:color w:val="auto"/>
          <w:sz w:val="32"/>
          <w:szCs w:val="32"/>
        </w:rPr>
        <w:t>鼓励县中</w:t>
      </w:r>
      <w:r>
        <w:rPr>
          <w:rFonts w:hint="eastAsia" w:ascii="仿宋" w:hAnsi="仿宋" w:eastAsia="仿宋" w:cs="仿宋"/>
          <w:color w:val="auto"/>
          <w:sz w:val="32"/>
          <w:szCs w:val="32"/>
          <w:lang w:eastAsia="zh-CN"/>
        </w:rPr>
        <w:t>申报省级示范性普通高中和省级特色示范性普通高中</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完善</w:t>
      </w:r>
      <w:r>
        <w:rPr>
          <w:rFonts w:hint="eastAsia" w:ascii="仿宋" w:hAnsi="仿宋" w:eastAsia="仿宋" w:cs="仿宋"/>
          <w:color w:val="auto"/>
          <w:sz w:val="32"/>
          <w:szCs w:val="32"/>
        </w:rPr>
        <w:t>部属高校托管帮扶县中</w:t>
      </w:r>
      <w:r>
        <w:rPr>
          <w:rFonts w:hint="eastAsia" w:ascii="仿宋" w:hAnsi="仿宋" w:eastAsia="仿宋" w:cs="仿宋"/>
          <w:color w:val="auto"/>
          <w:sz w:val="32"/>
          <w:szCs w:val="32"/>
          <w:lang w:eastAsia="zh-CN"/>
        </w:rPr>
        <w:t>、省内高校帮扶</w:t>
      </w:r>
      <w:r>
        <w:rPr>
          <w:rFonts w:hint="eastAsia" w:ascii="仿宋" w:hAnsi="仿宋" w:eastAsia="仿宋" w:cs="仿宋"/>
          <w:color w:val="auto"/>
          <w:sz w:val="32"/>
          <w:szCs w:val="32"/>
        </w:rPr>
        <w:t>薄弱县中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省级示范性高中</w:t>
      </w:r>
      <w:r>
        <w:rPr>
          <w:rFonts w:hint="eastAsia" w:ascii="仿宋" w:hAnsi="仿宋" w:eastAsia="仿宋" w:cs="仿宋"/>
          <w:color w:val="auto"/>
          <w:sz w:val="32"/>
          <w:szCs w:val="32"/>
          <w:lang w:eastAsia="zh-CN"/>
        </w:rPr>
        <w:t>帮扶</w:t>
      </w:r>
      <w:r>
        <w:rPr>
          <w:rFonts w:hint="eastAsia" w:ascii="仿宋" w:hAnsi="仿宋" w:eastAsia="仿宋" w:cs="仿宋"/>
          <w:color w:val="auto"/>
          <w:sz w:val="32"/>
          <w:szCs w:val="32"/>
        </w:rPr>
        <w:t>薄弱县中</w:t>
      </w:r>
      <w:r>
        <w:rPr>
          <w:rFonts w:hint="eastAsia" w:ascii="仿宋" w:hAnsi="仿宋" w:eastAsia="仿宋" w:cs="仿宋"/>
          <w:color w:val="auto"/>
          <w:sz w:val="32"/>
          <w:szCs w:val="32"/>
          <w:lang w:eastAsia="zh-CN"/>
        </w:rPr>
        <w:t>工作机制，帮助</w:t>
      </w:r>
      <w:r>
        <w:rPr>
          <w:rFonts w:hint="eastAsia" w:ascii="仿宋" w:hAnsi="仿宋" w:eastAsia="仿宋" w:cs="仿宋"/>
          <w:color w:val="auto"/>
          <w:sz w:val="32"/>
          <w:szCs w:val="32"/>
        </w:rPr>
        <w:t>县中</w:t>
      </w:r>
      <w:r>
        <w:rPr>
          <w:rFonts w:hint="eastAsia" w:ascii="仿宋" w:hAnsi="仿宋" w:eastAsia="仿宋" w:cs="仿宋"/>
          <w:color w:val="auto"/>
          <w:sz w:val="32"/>
          <w:szCs w:val="32"/>
          <w:lang w:eastAsia="zh-CN"/>
        </w:rPr>
        <w:t>提升</w:t>
      </w:r>
      <w:r>
        <w:rPr>
          <w:rFonts w:hint="eastAsia" w:ascii="仿宋" w:hAnsi="仿宋" w:eastAsia="仿宋" w:cs="仿宋"/>
          <w:color w:val="auto"/>
          <w:sz w:val="32"/>
          <w:szCs w:val="32"/>
        </w:rPr>
        <w:t>办学水平</w:t>
      </w:r>
      <w:r>
        <w:rPr>
          <w:rFonts w:hint="eastAsia" w:ascii="楷体_GB2312" w:hAnsi="楷体_GB2312" w:eastAsia="楷体_GB2312" w:cs="楷体_GB2312"/>
          <w:color w:val="auto"/>
          <w:sz w:val="32"/>
          <w:szCs w:val="32"/>
          <w:lang w:eastAsia="zh-CN"/>
        </w:rPr>
        <w:t>。</w:t>
      </w:r>
      <w:r>
        <w:rPr>
          <w:rFonts w:hint="eastAsia" w:ascii="仿宋" w:hAnsi="仿宋" w:eastAsia="仿宋" w:cs="仿宋"/>
          <w:color w:val="auto"/>
          <w:sz w:val="32"/>
          <w:szCs w:val="32"/>
          <w:lang w:eastAsia="zh-CN"/>
        </w:rPr>
        <w:t>各地</w:t>
      </w:r>
      <w:r>
        <w:rPr>
          <w:rFonts w:hint="eastAsia" w:ascii="仿宋" w:hAnsi="仿宋" w:eastAsia="仿宋" w:cs="仿宋"/>
          <w:color w:val="auto"/>
          <w:sz w:val="32"/>
          <w:szCs w:val="32"/>
        </w:rPr>
        <w:t>结合实际制定激励政策和保障机制，防止县中优秀人才流失。</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7.推进特殊教育和专门教育。</w:t>
      </w:r>
      <w:r>
        <w:rPr>
          <w:rFonts w:hint="eastAsia" w:ascii="仿宋" w:hAnsi="仿宋" w:eastAsia="仿宋" w:cs="仿宋"/>
          <w:i w:val="0"/>
          <w:iCs w:val="0"/>
          <w:caps w:val="0"/>
          <w:color w:val="auto"/>
          <w:spacing w:val="0"/>
          <w:kern w:val="0"/>
          <w:sz w:val="32"/>
          <w:szCs w:val="32"/>
          <w:shd w:val="clear" w:color="auto" w:fill="FFFFFF"/>
          <w:lang w:val="en-US" w:eastAsia="zh-CN" w:bidi="ar"/>
        </w:rPr>
        <w:t>促进特殊教育融合发展，加强省级融合教育实验区、实验校（园）培育建设。强化特殊教育资源中心和资源教室规范化建设，健全面向视力、听力、言语、肢体、智力、精神、多重残疾以及其他有特殊需要儿童的特殊教育服务机制。推动普通教育、职业教育、医疗康复、信息技术与特殊教育深度融合。专门教育坚持公办原则，实施专门学校建设三年规划，新建、改扩建、撤并整合一批专门学校，改善专门学校办学条件，规范专门学校管理，完善专门教育经费、队伍建设等保障机制。</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（责任单位：省教育厅、省委政法委、省公安厅、省司法厅、省财政厅、省人力资源社会保障厅、省卫生健康委、省残联）</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8.推进“五育”并举。</w:t>
      </w:r>
      <w:r>
        <w:rPr>
          <w:rFonts w:hint="eastAsia" w:ascii="仿宋" w:hAnsi="仿宋" w:eastAsia="仿宋" w:cs="仿宋"/>
          <w:i w:val="0"/>
          <w:iCs w:val="0"/>
          <w:caps w:val="0"/>
          <w:color w:val="auto"/>
          <w:spacing w:val="0"/>
          <w:kern w:val="0"/>
          <w:sz w:val="32"/>
          <w:szCs w:val="32"/>
          <w:shd w:val="clear" w:color="auto" w:fill="FFFFFF"/>
          <w:lang w:val="en-US" w:eastAsia="zh-CN" w:bidi="ar"/>
        </w:rPr>
        <w:t>持续巩固“双减”成果，全面提升课堂教学水平，提高课后服务质量。推进教育教学改革，在全省遴选推广一批优秀教学改革案例。加强习近平法治思想进校园，全面推进中小学思政课一体化建设，推动党、团、队育人链条衔接贯通，持续实施“贵青杯”等活动。深入推进千万师生阳光体育运动，探索实施中小学每天上、下午各开展1次30分钟大课间体育活动，大力推行体育家庭作业，确保学生每天2小时体育锻炼。实施美育浸润行动，开展“班班有歌声”“校校有艺展”等活动，促进学生身心健康。加强劳动教育实践实训基地建设，持续开展示范性劳动教育实践实训基地、示范学校评选。</w:t>
      </w:r>
      <w:r>
        <w:rPr>
          <w:rFonts w:hint="eastAsia" w:ascii="方正仿宋_GBK" w:hAnsi="方正仿宋_GBK" w:eastAsia="方正仿宋_GBK" w:cs="方正仿宋_GBK"/>
          <w:color w:val="auto"/>
          <w:sz w:val="32"/>
          <w:szCs w:val="32"/>
          <w:lang w:val="en-US" w:eastAsia="zh-CN"/>
        </w:rPr>
        <w:t>加强和改进实验教学管理，开展实验教学示范基地、示范校评选。统筹社会多方资源，强化科学教育，提升中小学生科学素质。</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（责任单位：省教育厅、团省委、省体育局、省科协）</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（三）全面优化师资配置</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9.深化“县管校聘”管理改革。</w:t>
      </w:r>
      <w:r>
        <w:rPr>
          <w:rFonts w:hint="eastAsia" w:ascii="仿宋" w:hAnsi="仿宋" w:eastAsia="仿宋" w:cs="仿宋"/>
          <w:i w:val="0"/>
          <w:iCs w:val="0"/>
          <w:caps w:val="0"/>
          <w:color w:val="auto"/>
          <w:spacing w:val="0"/>
          <w:kern w:val="0"/>
          <w:sz w:val="32"/>
          <w:szCs w:val="32"/>
          <w:shd w:val="clear" w:color="auto" w:fill="FFFFFF"/>
          <w:lang w:val="en-US" w:eastAsia="zh-CN" w:bidi="ar"/>
        </w:rPr>
        <w:t>县（市、区）党委、政府要加强统筹县域内师资资源配置，县级党委、政府要制定完善推进教师“县管校聘”管理改革实施方案和相应配套措施，县（市、区）教育行政部门在核定的编制、岗位总量内，依据编制标准、班额、生源、师资结构、承担教育教学改革任务等情况以及教育教学实际需要，制定调整方案，报同级机构编制部门、财政部门、人社部门备案同意后组织实施。按照“两教一保”要求配足幼儿园教职工，强化幼儿园师资保障。</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（责任单位：省教育厅、省委编办、省财政厅、省人力资源社会保障厅）</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 w:cs="Times New Roman"/>
          <w:color w:val="auto"/>
          <w:sz w:val="32"/>
          <w:szCs w:val="32"/>
          <w:lang w:val="en-US" w:eastAsia="zh-CN"/>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10.深化教师队伍培训培养。</w:t>
      </w:r>
      <w:r>
        <w:rPr>
          <w:rFonts w:hint="eastAsia" w:ascii="仿宋" w:hAnsi="仿宋" w:eastAsia="仿宋" w:cs="仿宋"/>
          <w:i w:val="0"/>
          <w:iCs w:val="0"/>
          <w:caps w:val="0"/>
          <w:color w:val="auto"/>
          <w:spacing w:val="0"/>
          <w:kern w:val="0"/>
          <w:sz w:val="32"/>
          <w:szCs w:val="32"/>
          <w:shd w:val="clear" w:color="auto" w:fill="FFFFFF"/>
          <w:lang w:val="en-US" w:eastAsia="zh-CN" w:bidi="ar"/>
        </w:rPr>
        <w:t>大力实施“国培计划”，聚焦新课程、新教材、新方法、新技术，推进整县提升培训，重点向农村、易地搬迁安置点等薄弱学校倾斜。鼓励支持各地结合实际建立新招聘教师在办学水平较高的学校见习培养制度，到城镇学校工作的公费师范生应到农村义务教育学校任教服务至少1年。实施校长、教师有序交流轮岗行动计划，县（市、区）要制定完善校长和优秀骨干教师交流轮岗具体实施方案和保障与激励机制，原则上在同一学校连续任教达到一定年限的校长和优秀骨干教师应优先进行交流轮岗，明确到乡村学校或办学条件薄弱学校任教1年以上作为申报高级职称的必要条件，3年以上作为选任中小学校长的优先条件，推动优秀校长和骨干教师向乡村学校、办学条件薄弱学校流动。加强法治副校长队伍建设，充分发挥法治副校长作用。</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（责任单位：省教育厅、省人力资源社会保障厅、省司法厅）</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cs="仿宋_GB2312"/>
          <w:b/>
          <w:bCs/>
          <w:color w:val="auto"/>
          <w:sz w:val="32"/>
          <w:szCs w:val="32"/>
          <w:lang w:val="en-US" w:eastAsia="zh-CN"/>
        </w:rPr>
      </w:pPr>
      <w:r>
        <w:rPr>
          <w:rFonts w:hint="default" w:ascii="Times New Roman" w:hAnsi="Times New Roman" w:eastAsia="楷体" w:cs="Times New Roman"/>
          <w:color w:val="auto"/>
          <w:sz w:val="32"/>
          <w:szCs w:val="32"/>
          <w:lang w:val="en-US" w:eastAsia="zh-CN"/>
        </w:rPr>
        <w:t>（</w:t>
      </w:r>
      <w:r>
        <w:rPr>
          <w:rFonts w:hint="eastAsia" w:ascii="Times New Roman" w:hAnsi="Times New Roman" w:eastAsia="楷体" w:cs="Times New Roman"/>
          <w:color w:val="auto"/>
          <w:sz w:val="32"/>
          <w:szCs w:val="32"/>
          <w:lang w:val="en-US" w:eastAsia="zh-CN"/>
        </w:rPr>
        <w:t>四</w:t>
      </w:r>
      <w:r>
        <w:rPr>
          <w:rFonts w:hint="default" w:ascii="Times New Roman" w:hAnsi="Times New Roman" w:eastAsia="楷体" w:cs="Times New Roman"/>
          <w:color w:val="auto"/>
          <w:sz w:val="32"/>
          <w:szCs w:val="32"/>
          <w:lang w:val="en-US" w:eastAsia="zh-CN"/>
        </w:rPr>
        <w:t>）</w:t>
      </w:r>
      <w:r>
        <w:rPr>
          <w:rFonts w:hint="eastAsia" w:ascii="Times New Roman" w:hAnsi="Times New Roman" w:eastAsia="楷体" w:cs="Times New Roman"/>
          <w:b w:val="0"/>
          <w:bCs w:val="0"/>
          <w:color w:val="auto"/>
          <w:sz w:val="32"/>
          <w:szCs w:val="32"/>
          <w:lang w:eastAsia="zh-CN"/>
        </w:rPr>
        <w:t>全面</w:t>
      </w:r>
      <w:r>
        <w:rPr>
          <w:rFonts w:hint="eastAsia" w:ascii="Times New Roman" w:hAnsi="Times New Roman" w:eastAsia="楷体" w:cs="Times New Roman"/>
          <w:color w:val="auto"/>
          <w:sz w:val="32"/>
          <w:szCs w:val="32"/>
          <w:lang w:val="en-US" w:eastAsia="zh-CN"/>
        </w:rPr>
        <w:t>构建关爱服务体系</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11.加强特殊群体关爱。</w:t>
      </w:r>
      <w:r>
        <w:rPr>
          <w:rFonts w:hint="eastAsia" w:ascii="仿宋" w:hAnsi="仿宋" w:eastAsia="仿宋" w:cs="仿宋"/>
          <w:i w:val="0"/>
          <w:iCs w:val="0"/>
          <w:caps w:val="0"/>
          <w:color w:val="auto"/>
          <w:spacing w:val="0"/>
          <w:kern w:val="0"/>
          <w:sz w:val="32"/>
          <w:szCs w:val="32"/>
          <w:shd w:val="clear" w:color="auto" w:fill="FFFFFF"/>
          <w:lang w:val="en-US" w:eastAsia="zh-CN" w:bidi="ar"/>
        </w:rPr>
        <w:t>健全控辍保学长效机制，落实义务教育免试就近入学和“公民办同招”政策及“两为主、两纳入、以居住证为主要依据”的随迁子女入学政策，促进教育公平。完善摸排机制，教育、民政、团委和妇联等部门及学校要加强对孤儿、事实无人抚养儿童、残疾儿童、流动儿童、留守儿童、困境儿童等特殊群体关爱保护和</w:t>
      </w:r>
      <w:r>
        <w:rPr>
          <w:rFonts w:hint="eastAsia" w:ascii="仿宋" w:hAnsi="仿宋" w:eastAsia="仿宋" w:cs="仿宋"/>
          <w:strike w:val="0"/>
          <w:dstrike w:val="0"/>
          <w:color w:val="auto"/>
          <w:sz w:val="32"/>
          <w:szCs w:val="32"/>
          <w:lang w:val="en-US" w:eastAsia="zh-CN"/>
        </w:rPr>
        <w:t>家庭教育指导服务</w:t>
      </w:r>
      <w:r>
        <w:rPr>
          <w:rFonts w:hint="eastAsia" w:ascii="仿宋" w:hAnsi="仿宋" w:eastAsia="仿宋" w:cs="仿宋"/>
          <w:i w:val="0"/>
          <w:iCs w:val="0"/>
          <w:caps w:val="0"/>
          <w:color w:val="auto"/>
          <w:spacing w:val="0"/>
          <w:kern w:val="0"/>
          <w:sz w:val="32"/>
          <w:szCs w:val="32"/>
          <w:shd w:val="clear" w:color="auto" w:fill="FFFFFF"/>
          <w:lang w:val="en-US" w:eastAsia="zh-CN" w:bidi="ar"/>
        </w:rPr>
        <w:t>。畅通“12355”等青少年权益维护渠道。做好特困学生救助供养，保障基本学习、生活需求。完善学习困难学生帮扶制度，健全面向全体学生的个性化培养机制，优化创新人才培养环境。</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（责任单位：省教育厅、省民政厅、团省委、省妇联、省残联、省关工委）</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b/>
          <w:bCs/>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12.加强卫生健康和心理健康服务。</w:t>
      </w:r>
      <w:r>
        <w:rPr>
          <w:rFonts w:hint="eastAsia" w:ascii="仿宋" w:hAnsi="仿宋" w:eastAsia="仿宋" w:cs="仿宋"/>
          <w:i w:val="0"/>
          <w:iCs w:val="0"/>
          <w:caps w:val="0"/>
          <w:color w:val="auto"/>
          <w:spacing w:val="0"/>
          <w:kern w:val="0"/>
          <w:sz w:val="32"/>
          <w:szCs w:val="32"/>
          <w:shd w:val="clear" w:color="auto" w:fill="FFFFFF"/>
          <w:lang w:val="en-US" w:eastAsia="zh-CN" w:bidi="ar"/>
        </w:rPr>
        <w:t>强化学校卫生体系和能力建设，完善学校医务室或保健室设施设备配备，配齐配强专兼职校医。推进学生体质健康平台建设，加强学生体质健康监测和常见病监测，建立健全校园传染性疫情宣传防范处置机制。加快学校心理辅导室标准化建设，配齐配强心理健康教育教师。市（州）要建立市（州）级学生心理健康监测平台，学校要建立学生心理健康监测和报告制度，建立“一生一案”心理健康档案。探索建立互联互通的学生心理健康24小时服务热线，建立学生心理咨询倾诉“窗口”。</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（责任单位：省教育厅、省卫生健康委、省疾控局）</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13.加强教育资助。</w:t>
      </w:r>
      <w:r>
        <w:rPr>
          <w:rFonts w:hint="eastAsia" w:ascii="仿宋" w:hAnsi="仿宋" w:eastAsia="仿宋" w:cs="仿宋"/>
          <w:i w:val="0"/>
          <w:iCs w:val="0"/>
          <w:caps w:val="0"/>
          <w:color w:val="auto"/>
          <w:spacing w:val="0"/>
          <w:kern w:val="0"/>
          <w:sz w:val="32"/>
          <w:szCs w:val="32"/>
          <w:shd w:val="clear" w:color="auto" w:fill="FFFFFF"/>
          <w:lang w:val="en-US" w:eastAsia="zh-CN" w:bidi="ar"/>
        </w:rPr>
        <w:t>根据国家政策，完善学生资助政策、资助项目、资助标准、资助程序、资金保障等学生资助体系，做到应助尽助，确保家庭经济困难学生资助全覆盖。依托全国学生资助管理信息系统，优化家庭经济困难学生认定依据和工作程序，提高家庭经济困难学生认定精准度和便利性。综合考虑经济社会发展水平、财政状况、物价水平和生活成本变动等情况，完善资助标准动态调整机制和资金发放机制，帮助家庭经济困难学生顺利完成学业。</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（责任单位：省教育厅、省财政厅、省民政厅、省残联）</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w:t>
      </w:r>
      <w:r>
        <w:rPr>
          <w:rFonts w:hint="eastAsia" w:ascii="Times New Roman" w:hAnsi="Times New Roman" w:eastAsia="楷体" w:cs="Times New Roman"/>
          <w:b w:val="0"/>
          <w:bCs w:val="0"/>
          <w:color w:val="auto"/>
          <w:sz w:val="32"/>
          <w:szCs w:val="32"/>
          <w:lang w:val="en-US" w:eastAsia="zh-CN"/>
        </w:rPr>
        <w:t>五</w:t>
      </w:r>
      <w:r>
        <w:rPr>
          <w:rFonts w:hint="default" w:ascii="Times New Roman" w:hAnsi="Times New Roman" w:eastAsia="楷体" w:cs="Times New Roman"/>
          <w:b w:val="0"/>
          <w:bCs w:val="0"/>
          <w:color w:val="auto"/>
          <w:sz w:val="32"/>
          <w:szCs w:val="32"/>
          <w:lang w:val="en-US" w:eastAsia="zh-CN"/>
        </w:rPr>
        <w:t>）</w:t>
      </w:r>
      <w:r>
        <w:rPr>
          <w:rFonts w:hint="eastAsia" w:ascii="Times New Roman" w:hAnsi="Times New Roman" w:eastAsia="楷体" w:cs="Times New Roman"/>
          <w:b w:val="0"/>
          <w:bCs w:val="0"/>
          <w:color w:val="auto"/>
          <w:sz w:val="32"/>
          <w:szCs w:val="32"/>
          <w:lang w:val="en-US" w:eastAsia="zh-CN"/>
        </w:rPr>
        <w:t>全面提</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升其他</w:t>
      </w:r>
      <w:r>
        <w:rPr>
          <w:rFonts w:hint="default"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公共</w:t>
      </w:r>
      <w:r>
        <w:rPr>
          <w:rFonts w:hint="default" w:ascii="Times New Roman" w:hAnsi="Times New Roman" w:eastAsia="楷体" w:cs="Times New Roman"/>
          <w:b w:val="0"/>
          <w:bCs w:val="0"/>
          <w:color w:val="auto"/>
          <w:sz w:val="32"/>
          <w:szCs w:val="32"/>
          <w:lang w:val="en-US" w:eastAsia="zh-CN"/>
        </w:rPr>
        <w:t>服务</w:t>
      </w:r>
      <w:r>
        <w:rPr>
          <w:rFonts w:hint="eastAsia" w:ascii="Times New Roman" w:hAnsi="Times New Roman" w:eastAsia="楷体" w:cs="Times New Roman"/>
          <w:b w:val="0"/>
          <w:bCs w:val="0"/>
          <w:color w:val="auto"/>
          <w:sz w:val="32"/>
          <w:szCs w:val="32"/>
          <w:lang w:val="en-US" w:eastAsia="zh-CN"/>
        </w:rPr>
        <w:t>质量</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14.强化“校家社”协同育人。</w:t>
      </w:r>
      <w:r>
        <w:rPr>
          <w:rFonts w:hint="eastAsia" w:ascii="仿宋" w:hAnsi="仿宋" w:eastAsia="仿宋" w:cs="仿宋"/>
          <w:i w:val="0"/>
          <w:iCs w:val="0"/>
          <w:caps w:val="0"/>
          <w:color w:val="auto"/>
          <w:spacing w:val="0"/>
          <w:kern w:val="0"/>
          <w:sz w:val="32"/>
          <w:szCs w:val="32"/>
          <w:shd w:val="clear" w:color="auto" w:fill="FFFFFF"/>
          <w:lang w:val="en-US" w:eastAsia="zh-CN" w:bidi="ar"/>
        </w:rPr>
        <w:t>加强校外活动、研学实践、科普教育基地和家庭指导服务中心、家长学校、服务站点建设。博物馆、纪念馆、公共图书馆、美术馆、文化馆（站）要免费向学生开放，鼓励公共体育设施、科技馆和科普教育基地免费或低收费向学生开放，寒暑假、周末和法定节假日等时期要适当延长开放时间。发挥优秀影片育人功能，每名中小学生每学期至少观看2次优秀影片。鼓励有条件的中小学校、县级青少年活动中心在寒暑假、周末和法定节假日等时期面向中小学生开展免费公益的托管服务。</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（责任单位：省教育厅、省委宣传部、省民政厅、省文化和旅游厅、省体育局、省文物局、团省委、省科协、省妇联）</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15.支持毕业生就业创业。</w:t>
      </w:r>
      <w:r>
        <w:rPr>
          <w:rFonts w:hint="eastAsia" w:ascii="仿宋" w:hAnsi="仿宋" w:eastAsia="仿宋" w:cs="仿宋"/>
          <w:i w:val="0"/>
          <w:iCs w:val="0"/>
          <w:caps w:val="0"/>
          <w:color w:val="auto"/>
          <w:spacing w:val="0"/>
          <w:kern w:val="0"/>
          <w:sz w:val="32"/>
          <w:szCs w:val="32"/>
          <w:shd w:val="clear" w:color="auto" w:fill="FFFFFF"/>
          <w:lang w:val="en-US" w:eastAsia="zh-CN" w:bidi="ar"/>
        </w:rPr>
        <w:t>实施高校毕业生留黔行动和高校毕业生等青年就业服务攻坚行动。将职业生涯教育融入高校人才培养全过程，加强高校毕业生职业生涯教育和就业创业指导，鼓励支持在高校设立职业指导服务站（中心、室、点）。打造权威公信的高校毕业生就业服务平台。落实创业担保贷款及贴息、自主创业补贴、场地支持等政策，适当扩大一次性自主创业补贴对象范围。对未就业的高校毕业生和中职毕业生、自费出国（境）留学的高校毕业生和因私出国（境）人员提供流动人员人事档案管理服务。对参加职业技能培训并符合条件的毕业生按规定给予职业培训补贴、职业技能评价补贴和生活费补贴。</w:t>
      </w: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bidi="ar"/>
        </w:rPr>
        <w:t>（责任单位：省人力资源社会保障厅、省教育厅、省财政厅）</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三、组织保障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i w:val="0"/>
          <w:iCs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shd w:val="clear" w:color="auto" w:fill="FFFFFF"/>
          <w:lang w:val="en-US" w:eastAsia="zh-CN" w:bidi="ar"/>
        </w:rPr>
        <w:t>（一）加强组织领导</w:t>
      </w:r>
      <w:r>
        <w:rPr>
          <w:rFonts w:hint="default" w:ascii="Times New Roman" w:hAnsi="Times New Roman" w:eastAsia="楷体" w:cs="Times New Roman"/>
          <w:b w:val="0"/>
          <w:bCs w:val="0"/>
          <w:i w:val="0"/>
          <w:iCs w:val="0"/>
          <w:caps w:val="0"/>
          <w:color w:val="auto"/>
          <w:spacing w:val="0"/>
          <w:kern w:val="0"/>
          <w:sz w:val="32"/>
          <w:szCs w:val="32"/>
          <w:shd w:val="clear" w:color="auto" w:fill="FFFFFF"/>
          <w:lang w:val="en-US" w:eastAsia="zh-CN" w:bidi="ar"/>
        </w:rPr>
        <w:t>。</w:t>
      </w:r>
      <w:r>
        <w:rPr>
          <w:rFonts w:hint="default" w:ascii="仿宋" w:hAnsi="仿宋" w:eastAsia="仿宋" w:cs="仿宋"/>
          <w:i w:val="0"/>
          <w:iCs w:val="0"/>
          <w:caps w:val="0"/>
          <w:color w:val="auto"/>
          <w:spacing w:val="0"/>
          <w:kern w:val="0"/>
          <w:sz w:val="32"/>
          <w:szCs w:val="32"/>
          <w:shd w:val="clear" w:color="auto" w:fill="FFFFFF"/>
          <w:lang w:val="en-US" w:eastAsia="zh-CN" w:bidi="ar"/>
        </w:rPr>
        <w:t>各级党委和政府要把构建优质均衡的基本公共教育服务体系作为实现共同富裕的一项重大民生工程，列入党委和政府重要议事日程。强化省级统筹，充分发挥市</w:t>
      </w:r>
      <w:r>
        <w:rPr>
          <w:rFonts w:hint="eastAsia" w:ascii="仿宋" w:hAnsi="仿宋" w:eastAsia="仿宋" w:cs="仿宋"/>
          <w:i w:val="0"/>
          <w:iCs w:val="0"/>
          <w:caps w:val="0"/>
          <w:color w:val="auto"/>
          <w:spacing w:val="0"/>
          <w:kern w:val="0"/>
          <w:sz w:val="32"/>
          <w:szCs w:val="32"/>
          <w:shd w:val="clear" w:color="auto" w:fill="FFFFFF"/>
          <w:lang w:val="en-US" w:eastAsia="zh-CN" w:bidi="ar"/>
        </w:rPr>
        <w:t>（州）</w:t>
      </w:r>
      <w:r>
        <w:rPr>
          <w:rFonts w:hint="default" w:ascii="仿宋" w:hAnsi="仿宋" w:eastAsia="仿宋" w:cs="仿宋"/>
          <w:i w:val="0"/>
          <w:iCs w:val="0"/>
          <w:caps w:val="0"/>
          <w:color w:val="auto"/>
          <w:spacing w:val="0"/>
          <w:kern w:val="0"/>
          <w:sz w:val="32"/>
          <w:szCs w:val="32"/>
          <w:shd w:val="clear" w:color="auto" w:fill="FFFFFF"/>
          <w:lang w:val="en-US" w:eastAsia="zh-CN" w:bidi="ar"/>
        </w:rPr>
        <w:t>级政府作用，落实以县为主的管理责任，加强部门协同，形成工作合力。加强督导</w:t>
      </w:r>
      <w:r>
        <w:rPr>
          <w:rFonts w:hint="eastAsia" w:ascii="仿宋" w:hAnsi="仿宋" w:eastAsia="仿宋" w:cs="仿宋"/>
          <w:i w:val="0"/>
          <w:iCs w:val="0"/>
          <w:caps w:val="0"/>
          <w:color w:val="auto"/>
          <w:spacing w:val="0"/>
          <w:kern w:val="0"/>
          <w:sz w:val="32"/>
          <w:szCs w:val="32"/>
          <w:shd w:val="clear" w:color="auto" w:fill="FFFFFF"/>
          <w:lang w:val="en-US" w:eastAsia="zh-CN" w:bidi="ar"/>
        </w:rPr>
        <w:t>评估，</w:t>
      </w:r>
      <w:r>
        <w:rPr>
          <w:rFonts w:hint="default" w:ascii="仿宋" w:hAnsi="仿宋" w:eastAsia="仿宋" w:cs="仿宋"/>
          <w:i w:val="0"/>
          <w:iCs w:val="0"/>
          <w:caps w:val="0"/>
          <w:color w:val="auto"/>
          <w:spacing w:val="0"/>
          <w:kern w:val="0"/>
          <w:sz w:val="32"/>
          <w:szCs w:val="32"/>
          <w:shd w:val="clear" w:color="auto" w:fill="FFFFFF"/>
          <w:lang w:val="en-US" w:eastAsia="zh-CN" w:bidi="ar"/>
        </w:rPr>
        <w:t>将构建优质均衡的基本公共教育服务体系纳入对县级党政主要领导教育工作督导考核</w:t>
      </w:r>
      <w:r>
        <w:rPr>
          <w:rFonts w:hint="eastAsia" w:ascii="仿宋" w:hAnsi="仿宋" w:eastAsia="仿宋" w:cs="仿宋"/>
          <w:i w:val="0"/>
          <w:iCs w:val="0"/>
          <w:caps w:val="0"/>
          <w:color w:val="auto"/>
          <w:spacing w:val="0"/>
          <w:kern w:val="0"/>
          <w:sz w:val="32"/>
          <w:szCs w:val="32"/>
          <w:shd w:val="clear" w:color="auto" w:fill="FFFFFF"/>
          <w:lang w:val="en-US" w:eastAsia="zh-CN" w:bidi="ar"/>
        </w:rPr>
        <w:t>内容</w:t>
      </w:r>
      <w:r>
        <w:rPr>
          <w:rFonts w:hint="default" w:ascii="仿宋" w:hAnsi="仿宋" w:eastAsia="仿宋" w:cs="仿宋"/>
          <w:i w:val="0"/>
          <w:iCs w:val="0"/>
          <w:caps w:val="0"/>
          <w:color w:val="auto"/>
          <w:spacing w:val="0"/>
          <w:kern w:val="0"/>
          <w:sz w:val="32"/>
          <w:szCs w:val="32"/>
          <w:shd w:val="clear" w:color="auto" w:fill="FFFFFF"/>
          <w:lang w:val="en-US" w:eastAsia="zh-CN" w:bidi="ar"/>
        </w:rPr>
        <w:t>，确保各项政策措施落到实处</w:t>
      </w:r>
      <w:r>
        <w:rPr>
          <w:rFonts w:hint="eastAsia" w:ascii="仿宋" w:hAnsi="仿宋" w:eastAsia="仿宋" w:cs="仿宋"/>
          <w:i w:val="0"/>
          <w:iCs w:val="0"/>
          <w:caps w:val="0"/>
          <w:color w:val="auto"/>
          <w:spacing w:val="0"/>
          <w:kern w:val="0"/>
          <w:sz w:val="32"/>
          <w:szCs w:val="32"/>
          <w:shd w:val="clear" w:color="auto" w:fill="FFFFFF"/>
          <w:lang w:val="en-US" w:eastAsia="zh-CN" w:bidi="ar"/>
        </w:rPr>
        <w:t>。</w:t>
      </w:r>
      <w:r>
        <w:rPr>
          <w:rFonts w:hint="default" w:ascii="仿宋" w:hAnsi="仿宋" w:eastAsia="仿宋" w:cs="仿宋"/>
          <w:i w:val="0"/>
          <w:iCs w:val="0"/>
          <w:caps w:val="0"/>
          <w:color w:val="auto"/>
          <w:spacing w:val="0"/>
          <w:kern w:val="0"/>
          <w:sz w:val="32"/>
          <w:szCs w:val="32"/>
          <w:shd w:val="clear" w:color="auto" w:fill="FFFFFF"/>
          <w:lang w:val="en-US" w:eastAsia="zh-CN" w:bidi="ar"/>
        </w:rPr>
        <w:t>加大</w:t>
      </w:r>
      <w:r>
        <w:rPr>
          <w:rFonts w:hint="eastAsia" w:ascii="仿宋" w:hAnsi="仿宋" w:eastAsia="仿宋" w:cs="仿宋"/>
          <w:i w:val="0"/>
          <w:iCs w:val="0"/>
          <w:caps w:val="0"/>
          <w:color w:val="auto"/>
          <w:spacing w:val="0"/>
          <w:kern w:val="0"/>
          <w:sz w:val="32"/>
          <w:szCs w:val="32"/>
          <w:shd w:val="clear" w:color="auto" w:fill="FFFFFF"/>
          <w:lang w:val="en-US" w:eastAsia="zh-CN" w:bidi="ar"/>
        </w:rPr>
        <w:t>教育</w:t>
      </w:r>
      <w:r>
        <w:rPr>
          <w:rFonts w:hint="default" w:ascii="仿宋" w:hAnsi="仿宋" w:eastAsia="仿宋" w:cs="仿宋"/>
          <w:i w:val="0"/>
          <w:iCs w:val="0"/>
          <w:caps w:val="0"/>
          <w:color w:val="auto"/>
          <w:spacing w:val="0"/>
          <w:kern w:val="0"/>
          <w:sz w:val="32"/>
          <w:szCs w:val="32"/>
          <w:shd w:val="clear" w:color="auto" w:fill="FFFFFF"/>
          <w:lang w:val="en-US" w:eastAsia="zh-CN" w:bidi="ar"/>
        </w:rPr>
        <w:t>政策宣传解读力度，及时总结、宣传典型经验和实施成效。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color w:val="auto"/>
        </w:rPr>
      </w:pPr>
      <w:r>
        <w:rPr>
          <w:rFonts w:hint="default" w:ascii="Times New Roman" w:hAnsi="Times New Roman" w:eastAsia="楷体_GB2312" w:cs="Times New Roman"/>
          <w:b w:val="0"/>
          <w:bCs w:val="0"/>
          <w:i w:val="0"/>
          <w:iCs w:val="0"/>
          <w:caps w:val="0"/>
          <w:color w:val="auto"/>
          <w:spacing w:val="0"/>
          <w:kern w:val="0"/>
          <w:sz w:val="32"/>
          <w:szCs w:val="32"/>
          <w:shd w:val="clear" w:color="auto" w:fill="FFFFFF"/>
          <w:lang w:val="en-US" w:eastAsia="zh-CN" w:bidi="ar"/>
        </w:rPr>
        <w:t>（二）加强经费保障</w:t>
      </w:r>
      <w:r>
        <w:rPr>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w:t>
      </w:r>
      <w:r>
        <w:rPr>
          <w:rFonts w:hint="eastAsia" w:ascii="仿宋" w:hAnsi="仿宋" w:eastAsia="仿宋" w:cs="仿宋"/>
          <w:i w:val="0"/>
          <w:iCs w:val="0"/>
          <w:caps w:val="0"/>
          <w:color w:val="auto"/>
          <w:spacing w:val="0"/>
          <w:kern w:val="0"/>
          <w:sz w:val="32"/>
          <w:szCs w:val="32"/>
          <w:shd w:val="clear" w:color="auto" w:fill="FFFFFF"/>
          <w:lang w:val="en-US" w:eastAsia="zh-CN" w:bidi="ar"/>
        </w:rPr>
        <w:t>各级政府要优化支出结构，把义务教育作为教育投入的重中之重，严格落实“两个只增不减”要求，逐步提高经费保障水平。把公办园生均公用经费、保教费和普惠性民办幼儿园补助经费纳入财政预算。加大对教育教学和教师队伍建设经费投入力度，依法保障教师工资待遇，落实乡村教师生活补助政策。</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A5794"/>
    <w:rsid w:val="0F6D41F1"/>
    <w:rsid w:val="177F31AF"/>
    <w:rsid w:val="1D776001"/>
    <w:rsid w:val="1DC68F9E"/>
    <w:rsid w:val="1F3E11B4"/>
    <w:rsid w:val="1FB49D2F"/>
    <w:rsid w:val="28ECB04D"/>
    <w:rsid w:val="29FFA4FD"/>
    <w:rsid w:val="2DD77696"/>
    <w:rsid w:val="2E6FAB5A"/>
    <w:rsid w:val="2E9EA1CC"/>
    <w:rsid w:val="2F8B2FDA"/>
    <w:rsid w:val="317D0671"/>
    <w:rsid w:val="324F3C07"/>
    <w:rsid w:val="33B2AAB6"/>
    <w:rsid w:val="33DFFC3E"/>
    <w:rsid w:val="36F38FAB"/>
    <w:rsid w:val="377FF622"/>
    <w:rsid w:val="39CB7B95"/>
    <w:rsid w:val="3AFE6221"/>
    <w:rsid w:val="3BAED710"/>
    <w:rsid w:val="3BC6FF85"/>
    <w:rsid w:val="3CF5331D"/>
    <w:rsid w:val="3EBF8522"/>
    <w:rsid w:val="3EFFA67D"/>
    <w:rsid w:val="3F7FBB81"/>
    <w:rsid w:val="43FB32C7"/>
    <w:rsid w:val="43FF772A"/>
    <w:rsid w:val="47DF8FAD"/>
    <w:rsid w:val="496F7591"/>
    <w:rsid w:val="4BE10DCE"/>
    <w:rsid w:val="4F6DE081"/>
    <w:rsid w:val="4F9FEC9D"/>
    <w:rsid w:val="4FE1EE91"/>
    <w:rsid w:val="4FF4ECA7"/>
    <w:rsid w:val="51E2A153"/>
    <w:rsid w:val="53BD5C45"/>
    <w:rsid w:val="56CF2994"/>
    <w:rsid w:val="575F29BF"/>
    <w:rsid w:val="577196B8"/>
    <w:rsid w:val="58FF831E"/>
    <w:rsid w:val="59E790EA"/>
    <w:rsid w:val="5B6F3D72"/>
    <w:rsid w:val="5D9A2561"/>
    <w:rsid w:val="5DF23948"/>
    <w:rsid w:val="5E8F3538"/>
    <w:rsid w:val="5EAEFD2D"/>
    <w:rsid w:val="5EE66FE8"/>
    <w:rsid w:val="5EFF0FB0"/>
    <w:rsid w:val="5EFF4174"/>
    <w:rsid w:val="5F5F6061"/>
    <w:rsid w:val="5FB530F9"/>
    <w:rsid w:val="5FDF7B57"/>
    <w:rsid w:val="5FE3E77B"/>
    <w:rsid w:val="5FEF4098"/>
    <w:rsid w:val="5FF31925"/>
    <w:rsid w:val="5FF37564"/>
    <w:rsid w:val="63FF1C6A"/>
    <w:rsid w:val="66F78D2C"/>
    <w:rsid w:val="67BD7719"/>
    <w:rsid w:val="69F5F2CD"/>
    <w:rsid w:val="6AE54925"/>
    <w:rsid w:val="6BA7593E"/>
    <w:rsid w:val="6BFAA56A"/>
    <w:rsid w:val="6BFEA872"/>
    <w:rsid w:val="6DBFE99F"/>
    <w:rsid w:val="6E7F5601"/>
    <w:rsid w:val="6F3A5E70"/>
    <w:rsid w:val="6F4D4D8C"/>
    <w:rsid w:val="6F6E343A"/>
    <w:rsid w:val="6F7B5D0C"/>
    <w:rsid w:val="6F7BFC57"/>
    <w:rsid w:val="6FCE8C48"/>
    <w:rsid w:val="6FF58EC4"/>
    <w:rsid w:val="6FFB9F84"/>
    <w:rsid w:val="6FFF7C92"/>
    <w:rsid w:val="736FDAB5"/>
    <w:rsid w:val="737AC816"/>
    <w:rsid w:val="73976C44"/>
    <w:rsid w:val="73BBE7D8"/>
    <w:rsid w:val="73FC445D"/>
    <w:rsid w:val="73FD8824"/>
    <w:rsid w:val="73FFBE4B"/>
    <w:rsid w:val="74F52228"/>
    <w:rsid w:val="75A5609D"/>
    <w:rsid w:val="75FF5B76"/>
    <w:rsid w:val="75FF71CD"/>
    <w:rsid w:val="76DF9663"/>
    <w:rsid w:val="76EE2816"/>
    <w:rsid w:val="76FFD7B3"/>
    <w:rsid w:val="779C60AD"/>
    <w:rsid w:val="77FF04E0"/>
    <w:rsid w:val="77FF5605"/>
    <w:rsid w:val="786B0A7A"/>
    <w:rsid w:val="78DDDE7F"/>
    <w:rsid w:val="790E2141"/>
    <w:rsid w:val="79AECD2A"/>
    <w:rsid w:val="79FC5B5C"/>
    <w:rsid w:val="79FF7263"/>
    <w:rsid w:val="7A7BBC6F"/>
    <w:rsid w:val="7AF7D625"/>
    <w:rsid w:val="7B7CA57A"/>
    <w:rsid w:val="7BAFB6C8"/>
    <w:rsid w:val="7BE788B9"/>
    <w:rsid w:val="7BEF7BB7"/>
    <w:rsid w:val="7D7E1E04"/>
    <w:rsid w:val="7DED3035"/>
    <w:rsid w:val="7DFD511D"/>
    <w:rsid w:val="7DFE2C13"/>
    <w:rsid w:val="7DFF6C2F"/>
    <w:rsid w:val="7E77C0AC"/>
    <w:rsid w:val="7E8DB4B6"/>
    <w:rsid w:val="7E8FBF82"/>
    <w:rsid w:val="7E996500"/>
    <w:rsid w:val="7EBEA474"/>
    <w:rsid w:val="7EE72F7F"/>
    <w:rsid w:val="7EFBD40F"/>
    <w:rsid w:val="7EFF44A0"/>
    <w:rsid w:val="7F57DA32"/>
    <w:rsid w:val="7F672BCC"/>
    <w:rsid w:val="7F7D7631"/>
    <w:rsid w:val="7F7FBB86"/>
    <w:rsid w:val="7F9FB26E"/>
    <w:rsid w:val="7FA8AB24"/>
    <w:rsid w:val="7FB2C022"/>
    <w:rsid w:val="7FBD9CA7"/>
    <w:rsid w:val="7FCD3A69"/>
    <w:rsid w:val="7FDC2446"/>
    <w:rsid w:val="7FDF8C55"/>
    <w:rsid w:val="7FDFEA0E"/>
    <w:rsid w:val="7FE3CA08"/>
    <w:rsid w:val="7FF1EE1F"/>
    <w:rsid w:val="7FF5B777"/>
    <w:rsid w:val="7FF70F64"/>
    <w:rsid w:val="7FFA969C"/>
    <w:rsid w:val="7FFF36D1"/>
    <w:rsid w:val="7FFF7E8A"/>
    <w:rsid w:val="7FFFC6C0"/>
    <w:rsid w:val="7FFFE276"/>
    <w:rsid w:val="7FFFE760"/>
    <w:rsid w:val="87BF53FE"/>
    <w:rsid w:val="87F3590F"/>
    <w:rsid w:val="91B9C5E0"/>
    <w:rsid w:val="93952438"/>
    <w:rsid w:val="972EC701"/>
    <w:rsid w:val="97FF0626"/>
    <w:rsid w:val="9A715BE9"/>
    <w:rsid w:val="9A9B5A91"/>
    <w:rsid w:val="9B3FB808"/>
    <w:rsid w:val="9BDDA10B"/>
    <w:rsid w:val="9BF39533"/>
    <w:rsid w:val="9CE94151"/>
    <w:rsid w:val="9D9E1B90"/>
    <w:rsid w:val="9DF7FD92"/>
    <w:rsid w:val="9FCF18BE"/>
    <w:rsid w:val="A1D632B8"/>
    <w:rsid w:val="A6FD96B9"/>
    <w:rsid w:val="AD7FF607"/>
    <w:rsid w:val="ADFFD74E"/>
    <w:rsid w:val="AFBF963E"/>
    <w:rsid w:val="AFCB2549"/>
    <w:rsid w:val="AFCDDCA0"/>
    <w:rsid w:val="AFE7084F"/>
    <w:rsid w:val="AFFF03C7"/>
    <w:rsid w:val="B2F4F702"/>
    <w:rsid w:val="B3FE0007"/>
    <w:rsid w:val="B57E8A84"/>
    <w:rsid w:val="B5B7D8EE"/>
    <w:rsid w:val="B7F94165"/>
    <w:rsid w:val="B7F9CD24"/>
    <w:rsid w:val="B84BA5DB"/>
    <w:rsid w:val="B977E1DC"/>
    <w:rsid w:val="BD0CA73D"/>
    <w:rsid w:val="BD2720B8"/>
    <w:rsid w:val="BDBF435F"/>
    <w:rsid w:val="BE5718D2"/>
    <w:rsid w:val="BE7D5324"/>
    <w:rsid w:val="BEBFA0B4"/>
    <w:rsid w:val="BEFC80F5"/>
    <w:rsid w:val="BF3F9931"/>
    <w:rsid w:val="BF7F7C37"/>
    <w:rsid w:val="BFDCAF8D"/>
    <w:rsid w:val="BFF7A851"/>
    <w:rsid w:val="BFFED4FD"/>
    <w:rsid w:val="BFFF5C84"/>
    <w:rsid w:val="BFFF8C3F"/>
    <w:rsid w:val="C2EBB9F3"/>
    <w:rsid w:val="C4F72E81"/>
    <w:rsid w:val="C5F7546E"/>
    <w:rsid w:val="C6BF9C00"/>
    <w:rsid w:val="C76EECCB"/>
    <w:rsid w:val="C7F7AAFC"/>
    <w:rsid w:val="CADF2503"/>
    <w:rsid w:val="CB7EBA17"/>
    <w:rsid w:val="CBE91762"/>
    <w:rsid w:val="CEFF6649"/>
    <w:rsid w:val="CFFCD55D"/>
    <w:rsid w:val="D53FB57C"/>
    <w:rsid w:val="D6FF6B1B"/>
    <w:rsid w:val="D7BF6062"/>
    <w:rsid w:val="DA32DC68"/>
    <w:rsid w:val="DB3BD03F"/>
    <w:rsid w:val="DCFC4262"/>
    <w:rsid w:val="DD895C97"/>
    <w:rsid w:val="DDF0A773"/>
    <w:rsid w:val="DDF509AF"/>
    <w:rsid w:val="DE9F903B"/>
    <w:rsid w:val="DE9FB5EC"/>
    <w:rsid w:val="DEED2B5F"/>
    <w:rsid w:val="DF3F6332"/>
    <w:rsid w:val="DF9BE17A"/>
    <w:rsid w:val="DFDF4B3F"/>
    <w:rsid w:val="DFE7966B"/>
    <w:rsid w:val="DFF7DBDD"/>
    <w:rsid w:val="DFFBCE12"/>
    <w:rsid w:val="DFFFBCA5"/>
    <w:rsid w:val="E3A689DE"/>
    <w:rsid w:val="E3B8AC24"/>
    <w:rsid w:val="E3FF6A21"/>
    <w:rsid w:val="E6B6F762"/>
    <w:rsid w:val="E6EF7C2C"/>
    <w:rsid w:val="E7BF9732"/>
    <w:rsid w:val="E7BFE800"/>
    <w:rsid w:val="EAB617CF"/>
    <w:rsid w:val="EBF29B27"/>
    <w:rsid w:val="ECFDA646"/>
    <w:rsid w:val="EDBFAC0F"/>
    <w:rsid w:val="EDFF6FE3"/>
    <w:rsid w:val="EDFF774E"/>
    <w:rsid w:val="EE6947C7"/>
    <w:rsid w:val="EEED3EE0"/>
    <w:rsid w:val="EEFF0E47"/>
    <w:rsid w:val="EF6F6F01"/>
    <w:rsid w:val="EF7FB98A"/>
    <w:rsid w:val="EFB72A72"/>
    <w:rsid w:val="EFD742BC"/>
    <w:rsid w:val="EFEB2F53"/>
    <w:rsid w:val="EFF94E1E"/>
    <w:rsid w:val="EFFB1BBA"/>
    <w:rsid w:val="EFFFCE9E"/>
    <w:rsid w:val="F0FBF20C"/>
    <w:rsid w:val="F1EEE0F0"/>
    <w:rsid w:val="F2CF6354"/>
    <w:rsid w:val="F3DD684D"/>
    <w:rsid w:val="F5B154A1"/>
    <w:rsid w:val="F5FF9636"/>
    <w:rsid w:val="F6F14966"/>
    <w:rsid w:val="F797F81D"/>
    <w:rsid w:val="F7B3A6B9"/>
    <w:rsid w:val="F7F4ADA9"/>
    <w:rsid w:val="F7FBCF35"/>
    <w:rsid w:val="F7FF1449"/>
    <w:rsid w:val="F9EEA4FA"/>
    <w:rsid w:val="F9FD8BF8"/>
    <w:rsid w:val="F9FDAE0C"/>
    <w:rsid w:val="F9FF02FF"/>
    <w:rsid w:val="FB373A16"/>
    <w:rsid w:val="FB9E8492"/>
    <w:rsid w:val="FBBF6B7A"/>
    <w:rsid w:val="FBD8DDA4"/>
    <w:rsid w:val="FBF737C3"/>
    <w:rsid w:val="FBF973C3"/>
    <w:rsid w:val="FBFE6279"/>
    <w:rsid w:val="FBFF207E"/>
    <w:rsid w:val="FC751373"/>
    <w:rsid w:val="FCD4D78C"/>
    <w:rsid w:val="FCDED83E"/>
    <w:rsid w:val="FD6F8C0B"/>
    <w:rsid w:val="FD77C0B6"/>
    <w:rsid w:val="FDF71503"/>
    <w:rsid w:val="FDFFB44D"/>
    <w:rsid w:val="FE7F3029"/>
    <w:rsid w:val="FEF75059"/>
    <w:rsid w:val="FF3B4F15"/>
    <w:rsid w:val="FF77DCAB"/>
    <w:rsid w:val="FF7F9108"/>
    <w:rsid w:val="FF7FCC35"/>
    <w:rsid w:val="FF9B1B24"/>
    <w:rsid w:val="FFA975A8"/>
    <w:rsid w:val="FFAE53DC"/>
    <w:rsid w:val="FFBF82F0"/>
    <w:rsid w:val="FFCD279E"/>
    <w:rsid w:val="FFDDBFF9"/>
    <w:rsid w:val="FFDF1F3B"/>
    <w:rsid w:val="FFF74D7F"/>
    <w:rsid w:val="FFF79B26"/>
    <w:rsid w:val="FFFA3349"/>
    <w:rsid w:val="FFFB5493"/>
    <w:rsid w:val="FFFED3FA"/>
    <w:rsid w:val="FFFF88E3"/>
    <w:rsid w:val="FFFFF648"/>
    <w:rsid w:val="FFFFFD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First Indent 2"/>
    <w:basedOn w:val="2"/>
    <w:qFormat/>
    <w:uiPriority w:val="0"/>
    <w:pPr>
      <w:spacing w:line="560" w:lineRule="exact"/>
      <w:ind w:left="640" w:firstLine="880" w:firstLineChars="200"/>
      <w:jc w:val="both"/>
    </w:pPr>
    <w:rPr>
      <w:rFonts w:ascii="Times New Roman" w:hAnsi="Times New Roman" w:eastAsia="方正仿宋_GBK" w:cs="Times New Roman"/>
      <w:sz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2024-09-18T03:28:00Z</dcterms:created>
  <dc:creator>ysgz</dc:creator>
  <cp:lastModifiedBy>jytwlzx</cp:lastModifiedBy>
  <cp:lastPrinted>2024-09-29T19:03:00Z</cp:lastPrinted>
  <dcterms:modified xsi:type="dcterms:W3CDTF">2025-08-14T06:33:15Z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3AA29A7AE2E37951566BDE667D2B0919</vt:lpwstr>
  </property>
</Properties>
</file>